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7786C" w14:textId="77777777" w:rsidR="00565318" w:rsidRPr="00395444" w:rsidRDefault="00565318" w:rsidP="00395444">
      <w:pPr>
        <w:pStyle w:val="Title"/>
      </w:pPr>
      <w:r w:rsidRPr="00E32FDC">
        <w:t>Middelengebruik: Cannabisgebruik</w:t>
      </w:r>
    </w:p>
    <w:p w14:paraId="0723A353" w14:textId="77777777" w:rsidR="00565318" w:rsidRPr="00E32FDC" w:rsidRDefault="00565318" w:rsidP="00395444"/>
    <w:p w14:paraId="37267483" w14:textId="77777777" w:rsidR="00565318" w:rsidRPr="00395444" w:rsidRDefault="00565318" w:rsidP="00395444">
      <w:pPr>
        <w:pStyle w:val="Heading1"/>
      </w:pPr>
      <w:r w:rsidRPr="00E32FDC">
        <w:t>Inleiding</w:t>
      </w:r>
    </w:p>
    <w:p w14:paraId="04F59127" w14:textId="04465A69" w:rsidR="00565318" w:rsidRPr="00E32FDC" w:rsidRDefault="00565318" w:rsidP="00395444">
      <w:r w:rsidRPr="00E32FDC">
        <w:t xml:space="preserve">Cannabisgebruik geeft zowel gezondheidsrisico’s, psychosociale gevolgen als wettelijke </w:t>
      </w:r>
      <w:r w:rsidRPr="00395444">
        <w:t>consequenties</w:t>
      </w:r>
      <w:r w:rsidRPr="00E32FDC">
        <w:rPr>
          <w:rStyle w:val="FootnoteReference"/>
        </w:rPr>
        <w:footnoteReference w:id="1"/>
      </w:r>
      <w:r w:rsidRPr="00E32FDC">
        <w:rPr>
          <w:vertAlign w:val="superscript"/>
        </w:rPr>
        <w:t>,</w:t>
      </w:r>
      <w:r w:rsidRPr="00E32FDC">
        <w:rPr>
          <w:rStyle w:val="FootnoteReference"/>
        </w:rPr>
        <w:footnoteReference w:id="2"/>
      </w:r>
      <w:r w:rsidRPr="00E32FDC">
        <w:t>. Frequent gebruik van cannabis wordt geassocieerd met slechte eindresultaten op school, lager inkomen, werkloosheid en een lagere inschatting van de levens</w:t>
      </w:r>
      <w:r w:rsidR="0046341F">
        <w:t>tevredenheid</w:t>
      </w:r>
      <w:r w:rsidRPr="00E32FDC">
        <w:rPr>
          <w:rStyle w:val="FootnoteReference"/>
        </w:rPr>
        <w:footnoteReference w:id="3"/>
      </w:r>
      <w:r w:rsidR="00C64460">
        <w:t xml:space="preserve"> en een verhoogd risico op psychotische aandoeningen</w:t>
      </w:r>
      <w:r w:rsidR="00C64460">
        <w:rPr>
          <w:rStyle w:val="FootnoteReference"/>
        </w:rPr>
        <w:footnoteReference w:id="4"/>
      </w:r>
      <w:r w:rsidRPr="00E32FDC">
        <w:t>.</w:t>
      </w:r>
    </w:p>
    <w:p w14:paraId="5BCE48AD" w14:textId="77777777" w:rsidR="00565318" w:rsidRPr="00E32FDC" w:rsidRDefault="00565318" w:rsidP="00395444"/>
    <w:p w14:paraId="13C707F1" w14:textId="77777777" w:rsidR="00565318" w:rsidRPr="00E32FDC" w:rsidRDefault="00565318" w:rsidP="00395444">
      <w:r w:rsidRPr="00E32FDC">
        <w:t>De Vlaamse gezondheidsdoel</w:t>
      </w:r>
      <w:r w:rsidR="006E207D">
        <w:t>stelling beoogt dat tegen 2015 bij</w:t>
      </w:r>
      <w:r w:rsidRPr="00E32FDC">
        <w:t xml:space="preserve"> personen van 1</w:t>
      </w:r>
      <w:r w:rsidR="00C64460">
        <w:t>8</w:t>
      </w:r>
      <w:r w:rsidR="006E207D">
        <w:t xml:space="preserve"> jaar en jonger, </w:t>
      </w:r>
      <w:r w:rsidRPr="00E32FDC">
        <w:t xml:space="preserve">het percentage dat ooit </w:t>
      </w:r>
      <w:r w:rsidRPr="00E32FDC">
        <w:rPr>
          <w:b/>
          <w:bCs/>
        </w:rPr>
        <w:t>cannabis of een andere illegale drug</w:t>
      </w:r>
      <w:r w:rsidRPr="00E32FDC">
        <w:t xml:space="preserve"> heeft gebruikt</w:t>
      </w:r>
      <w:r w:rsidR="006E207D">
        <w:t>,</w:t>
      </w:r>
      <w:r w:rsidRPr="00E32FDC">
        <w:t xml:space="preserve"> niet hoger mag zijn dan 14%.</w:t>
      </w:r>
    </w:p>
    <w:p w14:paraId="55885C07" w14:textId="77777777" w:rsidR="00565318" w:rsidRPr="00E32FDC" w:rsidRDefault="00565318" w:rsidP="00395444"/>
    <w:p w14:paraId="760EF95E" w14:textId="77777777" w:rsidR="00565318" w:rsidRPr="00E32FDC" w:rsidRDefault="00565318" w:rsidP="00395444">
      <w:pPr>
        <w:pStyle w:val="Heading1"/>
      </w:pPr>
      <w:r w:rsidRPr="00E32FDC">
        <w:t>Methodologie</w:t>
      </w:r>
    </w:p>
    <w:p w14:paraId="03D8A475" w14:textId="77777777" w:rsidR="00282A72" w:rsidRPr="00981257" w:rsidRDefault="00282A72" w:rsidP="00282A72">
      <w:pPr>
        <w:rPr>
          <w:rFonts w:ascii="Arial" w:hAnsi="Arial"/>
        </w:rPr>
      </w:pPr>
      <w:r w:rsidRPr="00981257">
        <w:rPr>
          <w:rFonts w:ascii="Arial" w:hAnsi="Arial"/>
        </w:rPr>
        <w:t>Voor de algemene informatie over de studie Jongeren en Gezondheid en de socio-demografische gegevens van de steekproef van de leerlingen tussen 11 en 18 jaar wordt verwe</w:t>
      </w:r>
      <w:r>
        <w:rPr>
          <w:rFonts w:ascii="Arial" w:hAnsi="Arial"/>
        </w:rPr>
        <w:t>zen naar de desbetreffende fact</w:t>
      </w:r>
      <w:r w:rsidRPr="00981257">
        <w:rPr>
          <w:rFonts w:ascii="Arial" w:hAnsi="Arial"/>
        </w:rPr>
        <w:t xml:space="preserve">sheets op </w:t>
      </w:r>
      <w:hyperlink r:id="rId8" w:history="1">
        <w:r w:rsidRPr="00981257">
          <w:rPr>
            <w:rStyle w:val="Hyperlink"/>
            <w:rFonts w:ascii="Arial" w:hAnsi="Arial"/>
          </w:rPr>
          <w:t>www.jongeren-en-gezondheid.ugent.be</w:t>
        </w:r>
      </w:hyperlink>
      <w:r w:rsidRPr="00981257">
        <w:rPr>
          <w:rFonts w:ascii="Arial" w:hAnsi="Arial"/>
        </w:rPr>
        <w:t xml:space="preserve"> .</w:t>
      </w:r>
    </w:p>
    <w:p w14:paraId="2929CFE8" w14:textId="77777777" w:rsidR="00282A72" w:rsidRDefault="00282A72" w:rsidP="00395444"/>
    <w:p w14:paraId="7E11215B" w14:textId="31FD0AEA" w:rsidR="00565318" w:rsidRDefault="00565318" w:rsidP="00395444">
      <w:r w:rsidRPr="00E32FDC">
        <w:t>De vragen over cannabisgebruik werden alleen in het secundair onderwijs bevraagd. Er wordt gevraagd naar ooit gebruik</w:t>
      </w:r>
      <w:r w:rsidR="00590B8B">
        <w:t xml:space="preserve"> (in heel je leven)</w:t>
      </w:r>
      <w:r w:rsidR="007370EA">
        <w:t xml:space="preserve"> </w:t>
      </w:r>
      <w:r w:rsidRPr="00E32FDC">
        <w:t>en</w:t>
      </w:r>
      <w:r w:rsidR="007370EA">
        <w:t xml:space="preserve"> het gebruik in de</w:t>
      </w:r>
      <w:r w:rsidRPr="00E32FDC">
        <w:t xml:space="preserve"> laatste 30 dagen.</w:t>
      </w:r>
    </w:p>
    <w:p w14:paraId="11FE8C33" w14:textId="77777777" w:rsidR="00C62D6A" w:rsidRPr="00C62D6A" w:rsidRDefault="00C62D6A" w:rsidP="00C62D6A"/>
    <w:p w14:paraId="7239953E" w14:textId="4297645B" w:rsidR="00565318" w:rsidRPr="00C62D6A" w:rsidRDefault="00565318" w:rsidP="00CC0C29">
      <w:pPr>
        <w:pStyle w:val="ListParagraph"/>
        <w:keepNext/>
        <w:numPr>
          <w:ilvl w:val="0"/>
          <w:numId w:val="2"/>
        </w:numPr>
        <w:ind w:left="714" w:hanging="357"/>
      </w:pPr>
      <w:r w:rsidRPr="00E32FDC">
        <w:t xml:space="preserve">Heb je ooit al </w:t>
      </w:r>
      <w:r w:rsidRPr="00395444">
        <w:t>cannabis</w:t>
      </w:r>
      <w:r w:rsidRPr="00E32FDC">
        <w:t xml:space="preserve"> (marihuana, joints) gebruikt? (alleen sec</w:t>
      </w:r>
      <w:r w:rsidR="00C2640E">
        <w:t xml:space="preserve">. </w:t>
      </w:r>
      <w:r w:rsidRPr="00E32FDC">
        <w:t>onderwijs)</w:t>
      </w:r>
    </w:p>
    <w:tbl>
      <w:tblPr>
        <w:tblStyle w:val="TableGridLight"/>
        <w:tblW w:w="9212" w:type="dxa"/>
        <w:jc w:val="center"/>
        <w:tblLook w:val="0000" w:firstRow="0" w:lastRow="0" w:firstColumn="0" w:lastColumn="0" w:noHBand="0" w:noVBand="0"/>
      </w:tblPr>
      <w:tblGrid>
        <w:gridCol w:w="1929"/>
        <w:gridCol w:w="720"/>
        <w:gridCol w:w="1026"/>
        <w:gridCol w:w="1052"/>
        <w:gridCol w:w="1052"/>
        <w:gridCol w:w="1127"/>
        <w:gridCol w:w="1127"/>
        <w:gridCol w:w="1179"/>
      </w:tblGrid>
      <w:tr w:rsidR="00590B8B" w:rsidRPr="00626518" w14:paraId="660477F2" w14:textId="77777777" w:rsidTr="00C64460">
        <w:trPr>
          <w:jc w:val="center"/>
        </w:trPr>
        <w:tc>
          <w:tcPr>
            <w:tcW w:w="0" w:type="auto"/>
          </w:tcPr>
          <w:p w14:paraId="261F6F06" w14:textId="77777777" w:rsidR="00565318" w:rsidRPr="00626518" w:rsidRDefault="00565318" w:rsidP="00395444">
            <w:pPr>
              <w:rPr>
                <w:sz w:val="20"/>
                <w:lang w:val="nl-BE"/>
              </w:rPr>
            </w:pPr>
          </w:p>
        </w:tc>
        <w:tc>
          <w:tcPr>
            <w:tcW w:w="0" w:type="auto"/>
          </w:tcPr>
          <w:p w14:paraId="1EF30AA1" w14:textId="77777777" w:rsidR="00565318" w:rsidRPr="00626518" w:rsidRDefault="00565318" w:rsidP="00626518">
            <w:pPr>
              <w:jc w:val="center"/>
              <w:rPr>
                <w:sz w:val="20"/>
                <w:lang w:val="nl-BE"/>
              </w:rPr>
            </w:pPr>
            <w:r w:rsidRPr="00626518">
              <w:rPr>
                <w:sz w:val="20"/>
                <w:lang w:val="nl-BE"/>
              </w:rPr>
              <w:t>nooit</w:t>
            </w:r>
          </w:p>
        </w:tc>
        <w:tc>
          <w:tcPr>
            <w:tcW w:w="0" w:type="auto"/>
          </w:tcPr>
          <w:p w14:paraId="6CEB86F8" w14:textId="547BB4FB" w:rsidR="00565318" w:rsidRPr="00626518" w:rsidRDefault="00565318" w:rsidP="00590B8B">
            <w:pPr>
              <w:jc w:val="center"/>
              <w:rPr>
                <w:sz w:val="20"/>
                <w:lang w:val="nl-BE"/>
              </w:rPr>
            </w:pPr>
            <w:r w:rsidRPr="00626518">
              <w:rPr>
                <w:sz w:val="20"/>
                <w:lang w:val="nl-BE"/>
              </w:rPr>
              <w:t xml:space="preserve">1 of 2 </w:t>
            </w:r>
            <w:r w:rsidR="00590B8B">
              <w:rPr>
                <w:sz w:val="20"/>
                <w:lang w:val="nl-BE"/>
              </w:rPr>
              <w:t>dagen</w:t>
            </w:r>
          </w:p>
        </w:tc>
        <w:tc>
          <w:tcPr>
            <w:tcW w:w="0" w:type="auto"/>
          </w:tcPr>
          <w:p w14:paraId="22A5D90C" w14:textId="29F3C8A8" w:rsidR="00565318" w:rsidRPr="00626518" w:rsidRDefault="00565318" w:rsidP="00590B8B">
            <w:pPr>
              <w:jc w:val="center"/>
              <w:rPr>
                <w:sz w:val="20"/>
                <w:lang w:val="nl-BE"/>
              </w:rPr>
            </w:pPr>
            <w:r w:rsidRPr="00626518">
              <w:rPr>
                <w:sz w:val="20"/>
                <w:lang w:val="nl-BE"/>
              </w:rPr>
              <w:t xml:space="preserve">3 tot 5 </w:t>
            </w:r>
            <w:r w:rsidR="00590B8B">
              <w:rPr>
                <w:sz w:val="20"/>
                <w:lang w:val="nl-BE"/>
              </w:rPr>
              <w:t>dagen</w:t>
            </w:r>
          </w:p>
        </w:tc>
        <w:tc>
          <w:tcPr>
            <w:tcW w:w="0" w:type="auto"/>
          </w:tcPr>
          <w:p w14:paraId="4F846C10" w14:textId="1CAE681C" w:rsidR="00565318" w:rsidRPr="00626518" w:rsidRDefault="00565318" w:rsidP="00590B8B">
            <w:pPr>
              <w:jc w:val="center"/>
              <w:rPr>
                <w:sz w:val="20"/>
                <w:lang w:val="nl-BE"/>
              </w:rPr>
            </w:pPr>
            <w:r w:rsidRPr="00626518">
              <w:rPr>
                <w:sz w:val="20"/>
                <w:lang w:val="nl-BE"/>
              </w:rPr>
              <w:t xml:space="preserve">6 tot 9 </w:t>
            </w:r>
            <w:r w:rsidR="00590B8B">
              <w:rPr>
                <w:sz w:val="20"/>
                <w:lang w:val="nl-BE"/>
              </w:rPr>
              <w:t>dagen</w:t>
            </w:r>
          </w:p>
        </w:tc>
        <w:tc>
          <w:tcPr>
            <w:tcW w:w="0" w:type="auto"/>
          </w:tcPr>
          <w:p w14:paraId="26327F53" w14:textId="0B7B0CF4" w:rsidR="00565318" w:rsidRPr="00626518" w:rsidRDefault="00565318" w:rsidP="00590B8B">
            <w:pPr>
              <w:jc w:val="center"/>
              <w:rPr>
                <w:sz w:val="20"/>
                <w:lang w:val="nl-BE"/>
              </w:rPr>
            </w:pPr>
            <w:r w:rsidRPr="00626518">
              <w:rPr>
                <w:sz w:val="20"/>
                <w:lang w:val="nl-BE"/>
              </w:rPr>
              <w:t xml:space="preserve">10 tot 19 </w:t>
            </w:r>
            <w:r w:rsidR="00590B8B">
              <w:rPr>
                <w:sz w:val="20"/>
                <w:lang w:val="nl-BE"/>
              </w:rPr>
              <w:t>dagen</w:t>
            </w:r>
          </w:p>
        </w:tc>
        <w:tc>
          <w:tcPr>
            <w:tcW w:w="0" w:type="auto"/>
          </w:tcPr>
          <w:p w14:paraId="7A4B6100" w14:textId="3C278B0C" w:rsidR="00565318" w:rsidRPr="00626518" w:rsidRDefault="00565318" w:rsidP="00590B8B">
            <w:pPr>
              <w:jc w:val="center"/>
              <w:rPr>
                <w:sz w:val="20"/>
                <w:lang w:val="nl-BE"/>
              </w:rPr>
            </w:pPr>
            <w:r w:rsidRPr="00626518">
              <w:rPr>
                <w:sz w:val="20"/>
                <w:lang w:val="nl-BE"/>
              </w:rPr>
              <w:t xml:space="preserve">20 tot </w:t>
            </w:r>
            <w:r w:rsidR="00590B8B">
              <w:rPr>
                <w:sz w:val="20"/>
                <w:lang w:val="nl-BE"/>
              </w:rPr>
              <w:t>2</w:t>
            </w:r>
            <w:r w:rsidRPr="00626518">
              <w:rPr>
                <w:sz w:val="20"/>
                <w:lang w:val="nl-BE"/>
              </w:rPr>
              <w:t xml:space="preserve">9 </w:t>
            </w:r>
            <w:r w:rsidR="00590B8B">
              <w:rPr>
                <w:sz w:val="20"/>
                <w:lang w:val="nl-BE"/>
              </w:rPr>
              <w:t>dagen</w:t>
            </w:r>
          </w:p>
        </w:tc>
        <w:tc>
          <w:tcPr>
            <w:tcW w:w="0" w:type="auto"/>
          </w:tcPr>
          <w:p w14:paraId="38D532A3" w14:textId="7A6E7EFF" w:rsidR="00565318" w:rsidRPr="00626518" w:rsidRDefault="00590B8B" w:rsidP="00590B8B">
            <w:pPr>
              <w:jc w:val="center"/>
              <w:rPr>
                <w:sz w:val="20"/>
                <w:lang w:val="nl-BE"/>
              </w:rPr>
            </w:pPr>
            <w:r>
              <w:rPr>
                <w:sz w:val="20"/>
                <w:lang w:val="nl-BE"/>
              </w:rPr>
              <w:t>30</w:t>
            </w:r>
            <w:r w:rsidR="00565318" w:rsidRPr="00626518">
              <w:rPr>
                <w:sz w:val="20"/>
                <w:lang w:val="nl-BE"/>
              </w:rPr>
              <w:t xml:space="preserve"> </w:t>
            </w:r>
            <w:r>
              <w:rPr>
                <w:sz w:val="20"/>
                <w:lang w:val="nl-BE"/>
              </w:rPr>
              <w:t>dagen</w:t>
            </w:r>
            <w:r w:rsidR="00565318" w:rsidRPr="00626518">
              <w:rPr>
                <w:sz w:val="20"/>
                <w:lang w:val="nl-BE"/>
              </w:rPr>
              <w:t xml:space="preserve"> of meer</w:t>
            </w:r>
          </w:p>
        </w:tc>
      </w:tr>
      <w:tr w:rsidR="00590B8B" w:rsidRPr="00626518" w14:paraId="36C7BE24" w14:textId="77777777" w:rsidTr="00C64460">
        <w:trPr>
          <w:jc w:val="center"/>
        </w:trPr>
        <w:tc>
          <w:tcPr>
            <w:tcW w:w="0" w:type="auto"/>
          </w:tcPr>
          <w:p w14:paraId="547A6BDC" w14:textId="77777777" w:rsidR="00565318" w:rsidRPr="00626518" w:rsidRDefault="00565318" w:rsidP="00395444">
            <w:pPr>
              <w:rPr>
                <w:sz w:val="20"/>
                <w:lang w:val="nl-BE"/>
              </w:rPr>
            </w:pPr>
            <w:r w:rsidRPr="00626518">
              <w:rPr>
                <w:sz w:val="20"/>
                <w:lang w:val="nl-BE"/>
              </w:rPr>
              <w:t>In heel je leven</w:t>
            </w:r>
          </w:p>
        </w:tc>
        <w:tc>
          <w:tcPr>
            <w:tcW w:w="0" w:type="auto"/>
          </w:tcPr>
          <w:p w14:paraId="7788B4CE" w14:textId="77777777" w:rsidR="00565318" w:rsidRPr="00626518" w:rsidRDefault="00565318" w:rsidP="00626518">
            <w:pPr>
              <w:jc w:val="center"/>
              <w:rPr>
                <w:sz w:val="20"/>
              </w:rPr>
            </w:pPr>
            <w:r w:rsidRPr="00626518">
              <w:rPr>
                <w:sz w:val="20"/>
              </w:rPr>
              <w:t>O</w:t>
            </w:r>
          </w:p>
        </w:tc>
        <w:tc>
          <w:tcPr>
            <w:tcW w:w="0" w:type="auto"/>
          </w:tcPr>
          <w:p w14:paraId="528D3387" w14:textId="77777777" w:rsidR="00565318" w:rsidRPr="00626518" w:rsidRDefault="00565318" w:rsidP="00626518">
            <w:pPr>
              <w:jc w:val="center"/>
              <w:rPr>
                <w:sz w:val="20"/>
              </w:rPr>
            </w:pPr>
            <w:r w:rsidRPr="00626518">
              <w:rPr>
                <w:sz w:val="20"/>
              </w:rPr>
              <w:t>O</w:t>
            </w:r>
          </w:p>
        </w:tc>
        <w:tc>
          <w:tcPr>
            <w:tcW w:w="0" w:type="auto"/>
          </w:tcPr>
          <w:p w14:paraId="0DFEA314" w14:textId="77777777" w:rsidR="00565318" w:rsidRPr="00626518" w:rsidRDefault="00565318" w:rsidP="00626518">
            <w:pPr>
              <w:jc w:val="center"/>
              <w:rPr>
                <w:sz w:val="20"/>
              </w:rPr>
            </w:pPr>
            <w:r w:rsidRPr="00626518">
              <w:rPr>
                <w:sz w:val="20"/>
              </w:rPr>
              <w:t>O</w:t>
            </w:r>
          </w:p>
        </w:tc>
        <w:tc>
          <w:tcPr>
            <w:tcW w:w="0" w:type="auto"/>
          </w:tcPr>
          <w:p w14:paraId="7CC2F25B" w14:textId="77777777" w:rsidR="00565318" w:rsidRPr="00626518" w:rsidRDefault="00565318" w:rsidP="00626518">
            <w:pPr>
              <w:jc w:val="center"/>
              <w:rPr>
                <w:sz w:val="20"/>
              </w:rPr>
            </w:pPr>
            <w:r w:rsidRPr="00626518">
              <w:rPr>
                <w:sz w:val="20"/>
              </w:rPr>
              <w:t>O</w:t>
            </w:r>
          </w:p>
        </w:tc>
        <w:tc>
          <w:tcPr>
            <w:tcW w:w="0" w:type="auto"/>
          </w:tcPr>
          <w:p w14:paraId="5DD880D2" w14:textId="77777777" w:rsidR="00565318" w:rsidRPr="00626518" w:rsidRDefault="00565318" w:rsidP="00626518">
            <w:pPr>
              <w:jc w:val="center"/>
              <w:rPr>
                <w:sz w:val="20"/>
              </w:rPr>
            </w:pPr>
            <w:r w:rsidRPr="00626518">
              <w:rPr>
                <w:sz w:val="20"/>
              </w:rPr>
              <w:t>O</w:t>
            </w:r>
          </w:p>
        </w:tc>
        <w:tc>
          <w:tcPr>
            <w:tcW w:w="0" w:type="auto"/>
          </w:tcPr>
          <w:p w14:paraId="55D2EA8E" w14:textId="77777777" w:rsidR="00565318" w:rsidRPr="00626518" w:rsidRDefault="00565318" w:rsidP="00626518">
            <w:pPr>
              <w:jc w:val="center"/>
              <w:rPr>
                <w:sz w:val="20"/>
              </w:rPr>
            </w:pPr>
            <w:r w:rsidRPr="00626518">
              <w:rPr>
                <w:sz w:val="20"/>
              </w:rPr>
              <w:t>O</w:t>
            </w:r>
          </w:p>
        </w:tc>
        <w:tc>
          <w:tcPr>
            <w:tcW w:w="0" w:type="auto"/>
          </w:tcPr>
          <w:p w14:paraId="177D2381" w14:textId="77777777" w:rsidR="00565318" w:rsidRPr="00626518" w:rsidRDefault="00565318" w:rsidP="00626518">
            <w:pPr>
              <w:jc w:val="center"/>
              <w:rPr>
                <w:sz w:val="20"/>
                <w:lang w:val="nl-BE"/>
              </w:rPr>
            </w:pPr>
            <w:r w:rsidRPr="00626518">
              <w:rPr>
                <w:sz w:val="20"/>
                <w:lang w:val="nl-BE"/>
              </w:rPr>
              <w:t>O</w:t>
            </w:r>
          </w:p>
        </w:tc>
      </w:tr>
      <w:tr w:rsidR="00590B8B" w:rsidRPr="00626518" w14:paraId="0C8A4B72" w14:textId="77777777" w:rsidTr="00C64460">
        <w:trPr>
          <w:jc w:val="center"/>
        </w:trPr>
        <w:tc>
          <w:tcPr>
            <w:tcW w:w="0" w:type="auto"/>
          </w:tcPr>
          <w:p w14:paraId="48A2CA92" w14:textId="77777777" w:rsidR="00565318" w:rsidRPr="00626518" w:rsidRDefault="00565318" w:rsidP="00395444">
            <w:pPr>
              <w:rPr>
                <w:sz w:val="20"/>
                <w:lang w:val="nl-BE"/>
              </w:rPr>
            </w:pPr>
            <w:r w:rsidRPr="00626518">
              <w:rPr>
                <w:sz w:val="20"/>
                <w:lang w:val="nl-BE"/>
              </w:rPr>
              <w:t>Gedurende de laatste 30 dagen</w:t>
            </w:r>
          </w:p>
        </w:tc>
        <w:tc>
          <w:tcPr>
            <w:tcW w:w="0" w:type="auto"/>
          </w:tcPr>
          <w:p w14:paraId="28422A97" w14:textId="77777777" w:rsidR="00565318" w:rsidRPr="00626518" w:rsidRDefault="00565318" w:rsidP="00626518">
            <w:pPr>
              <w:jc w:val="center"/>
              <w:rPr>
                <w:sz w:val="20"/>
              </w:rPr>
            </w:pPr>
            <w:r w:rsidRPr="00626518">
              <w:rPr>
                <w:sz w:val="20"/>
              </w:rPr>
              <w:t>O</w:t>
            </w:r>
          </w:p>
        </w:tc>
        <w:tc>
          <w:tcPr>
            <w:tcW w:w="0" w:type="auto"/>
          </w:tcPr>
          <w:p w14:paraId="0D68BDBF" w14:textId="77777777" w:rsidR="00565318" w:rsidRPr="00626518" w:rsidRDefault="00565318" w:rsidP="00626518">
            <w:pPr>
              <w:jc w:val="center"/>
              <w:rPr>
                <w:sz w:val="20"/>
              </w:rPr>
            </w:pPr>
            <w:r w:rsidRPr="00626518">
              <w:rPr>
                <w:sz w:val="20"/>
              </w:rPr>
              <w:t>O</w:t>
            </w:r>
          </w:p>
        </w:tc>
        <w:tc>
          <w:tcPr>
            <w:tcW w:w="0" w:type="auto"/>
          </w:tcPr>
          <w:p w14:paraId="06440887" w14:textId="77777777" w:rsidR="00565318" w:rsidRPr="00626518" w:rsidRDefault="00565318" w:rsidP="00626518">
            <w:pPr>
              <w:jc w:val="center"/>
              <w:rPr>
                <w:sz w:val="20"/>
              </w:rPr>
            </w:pPr>
            <w:r w:rsidRPr="00626518">
              <w:rPr>
                <w:sz w:val="20"/>
              </w:rPr>
              <w:t>O</w:t>
            </w:r>
          </w:p>
        </w:tc>
        <w:tc>
          <w:tcPr>
            <w:tcW w:w="0" w:type="auto"/>
          </w:tcPr>
          <w:p w14:paraId="7B07E919" w14:textId="77777777" w:rsidR="00565318" w:rsidRPr="00626518" w:rsidRDefault="00565318" w:rsidP="00626518">
            <w:pPr>
              <w:jc w:val="center"/>
              <w:rPr>
                <w:sz w:val="20"/>
              </w:rPr>
            </w:pPr>
            <w:r w:rsidRPr="00626518">
              <w:rPr>
                <w:sz w:val="20"/>
              </w:rPr>
              <w:t>O</w:t>
            </w:r>
          </w:p>
        </w:tc>
        <w:tc>
          <w:tcPr>
            <w:tcW w:w="0" w:type="auto"/>
          </w:tcPr>
          <w:p w14:paraId="79865DEA" w14:textId="77777777" w:rsidR="00565318" w:rsidRPr="00626518" w:rsidRDefault="00565318" w:rsidP="00626518">
            <w:pPr>
              <w:jc w:val="center"/>
              <w:rPr>
                <w:sz w:val="20"/>
              </w:rPr>
            </w:pPr>
            <w:r w:rsidRPr="00626518">
              <w:rPr>
                <w:sz w:val="20"/>
              </w:rPr>
              <w:t>O</w:t>
            </w:r>
          </w:p>
        </w:tc>
        <w:tc>
          <w:tcPr>
            <w:tcW w:w="0" w:type="auto"/>
          </w:tcPr>
          <w:p w14:paraId="32CDC156" w14:textId="77777777" w:rsidR="00565318" w:rsidRPr="00626518" w:rsidRDefault="00565318" w:rsidP="00626518">
            <w:pPr>
              <w:jc w:val="center"/>
              <w:rPr>
                <w:sz w:val="20"/>
              </w:rPr>
            </w:pPr>
            <w:r w:rsidRPr="00626518">
              <w:rPr>
                <w:sz w:val="20"/>
              </w:rPr>
              <w:t>O</w:t>
            </w:r>
          </w:p>
        </w:tc>
        <w:tc>
          <w:tcPr>
            <w:tcW w:w="0" w:type="auto"/>
          </w:tcPr>
          <w:p w14:paraId="1A7EC64E" w14:textId="77777777" w:rsidR="00565318" w:rsidRPr="00626518" w:rsidRDefault="00565318" w:rsidP="00626518">
            <w:pPr>
              <w:jc w:val="center"/>
              <w:rPr>
                <w:sz w:val="20"/>
                <w:lang w:val="nl-BE"/>
              </w:rPr>
            </w:pPr>
            <w:r w:rsidRPr="00626518">
              <w:rPr>
                <w:sz w:val="20"/>
                <w:lang w:val="nl-BE"/>
              </w:rPr>
              <w:t>O</w:t>
            </w:r>
          </w:p>
        </w:tc>
      </w:tr>
    </w:tbl>
    <w:p w14:paraId="307D153A" w14:textId="77777777" w:rsidR="00565318" w:rsidRPr="008C1F21" w:rsidRDefault="00565318" w:rsidP="00395444">
      <w:pPr>
        <w:rPr>
          <w:highlight w:val="yellow"/>
          <w:lang w:val="nl-BE"/>
        </w:rPr>
      </w:pPr>
    </w:p>
    <w:p w14:paraId="49A4307B" w14:textId="4E9ACDE0" w:rsidR="00565318" w:rsidRDefault="00E32FDC" w:rsidP="00395444">
      <w:r w:rsidRPr="00E32FDC">
        <w:t xml:space="preserve">Daarnaast werd op dezelfde manier het ooit-gebruik van een aantal andere illegale middelen bevraagd, zijnde XTC, amfetamines (speed, pep), heroïne, medicatie om high te worden, cocaïne, snuifmiddelen (lijm, verdunner, …), LSD en tripmiddelen, en andere drug. </w:t>
      </w:r>
      <w:r w:rsidR="00590B8B">
        <w:t>Deze komen niet aan bod in dit factsheet, maar gegevens kunnen opgevraagd worden</w:t>
      </w:r>
      <w:r w:rsidR="00590B8B" w:rsidRPr="00E32FDC">
        <w:t>.</w:t>
      </w:r>
    </w:p>
    <w:p w14:paraId="3AE4B36E" w14:textId="77777777" w:rsidR="007370EA" w:rsidRDefault="007370EA" w:rsidP="00395444"/>
    <w:p w14:paraId="72C44725" w14:textId="23D8DB3A" w:rsidR="007370EA" w:rsidRDefault="007370EA" w:rsidP="00395444">
      <w:r>
        <w:t>Deze vragen werden op dezelfde wijze bevraagd in 2006</w:t>
      </w:r>
      <w:r w:rsidR="00590B8B">
        <w:t xml:space="preserve"> en 2010</w:t>
      </w:r>
      <w:r>
        <w:t>. Ervoor werd ook cannabisgebruik en andere illegale drugs bevraagd maar met andere antwoordcategorieën (nooit, 1-2 keer, 3 keer of meer, ken ik niet).</w:t>
      </w:r>
    </w:p>
    <w:p w14:paraId="08B0F0A7" w14:textId="77777777" w:rsidR="00E32FDC" w:rsidRPr="00E32FDC" w:rsidRDefault="00E32FDC" w:rsidP="00395444"/>
    <w:p w14:paraId="145CA2DE" w14:textId="77777777" w:rsidR="006732A9" w:rsidRDefault="006732A9" w:rsidP="00395444"/>
    <w:p w14:paraId="15D59B3D" w14:textId="77777777" w:rsidR="00E32FDC" w:rsidRPr="00E32FDC" w:rsidRDefault="00E32FDC" w:rsidP="00395444">
      <w:r w:rsidRPr="00E32FDC">
        <w:t xml:space="preserve">Bij het analyseren van deze vragen werden de leerlingen uitgeselecteerd die positief antwoordden op het gebruik van een fictieve drug, namelijk </w:t>
      </w:r>
      <w:proofErr w:type="spellStart"/>
      <w:r w:rsidRPr="00E32FDC">
        <w:t>baltok</w:t>
      </w:r>
      <w:proofErr w:type="spellEnd"/>
      <w:r w:rsidRPr="00E32FDC">
        <w:t xml:space="preserve">. </w:t>
      </w:r>
    </w:p>
    <w:p w14:paraId="3EB11DA5" w14:textId="77777777" w:rsidR="00565318" w:rsidRPr="008C1F21" w:rsidRDefault="00565318" w:rsidP="00395444">
      <w:pPr>
        <w:rPr>
          <w:highlight w:val="yellow"/>
        </w:rPr>
      </w:pPr>
    </w:p>
    <w:p w14:paraId="2BCB1C68" w14:textId="77777777" w:rsidR="00565318" w:rsidRPr="00903CFC" w:rsidRDefault="00565318" w:rsidP="00626518">
      <w:pPr>
        <w:pStyle w:val="Heading1"/>
      </w:pPr>
      <w:r w:rsidRPr="00903CFC">
        <w:t>Resultaten</w:t>
      </w:r>
    </w:p>
    <w:p w14:paraId="2A0D96FA" w14:textId="77777777" w:rsidR="00565318" w:rsidRPr="00903CFC" w:rsidRDefault="00565318" w:rsidP="00395444"/>
    <w:p w14:paraId="6665BC73" w14:textId="77777777" w:rsidR="00565318" w:rsidRPr="00626518" w:rsidRDefault="00565318" w:rsidP="00626518">
      <w:pPr>
        <w:pStyle w:val="Heading2"/>
      </w:pPr>
      <w:r w:rsidRPr="00626518">
        <w:t>Ooit gebruik van cannabis</w:t>
      </w:r>
    </w:p>
    <w:p w14:paraId="35971123" w14:textId="717B7BD5" w:rsidR="00CB3D92" w:rsidRDefault="006E207D" w:rsidP="00395444">
      <w:r>
        <w:t xml:space="preserve">In 2014 geven </w:t>
      </w:r>
      <w:r w:rsidR="003C53F6">
        <w:t>significant meer jongens dan meisjes aan dat ze ooit cannabis gebruikt hebben: 19,2% van de jongens in vergelijking met</w:t>
      </w:r>
      <w:r>
        <w:t xml:space="preserve"> 15,</w:t>
      </w:r>
      <w:r w:rsidR="00CB3D92">
        <w:t xml:space="preserve">2% van de meisjes </w:t>
      </w:r>
      <w:r>
        <w:t>(chi²</w:t>
      </w:r>
      <w:r w:rsidR="00C62D6A">
        <w:t> </w:t>
      </w:r>
      <w:r>
        <w:t>=</w:t>
      </w:r>
      <w:r w:rsidR="00C62D6A">
        <w:t> </w:t>
      </w:r>
      <w:r>
        <w:t xml:space="preserve">18,3; </w:t>
      </w:r>
      <w:proofErr w:type="spellStart"/>
      <w:r>
        <w:t>df</w:t>
      </w:r>
      <w:proofErr w:type="spellEnd"/>
      <w:r w:rsidR="00C62D6A">
        <w:t> </w:t>
      </w:r>
      <w:r>
        <w:t>=</w:t>
      </w:r>
      <w:r w:rsidR="00C62D6A">
        <w:t> </w:t>
      </w:r>
      <w:r>
        <w:t>1; p</w:t>
      </w:r>
      <w:r w:rsidR="00C62D6A">
        <w:t> </w:t>
      </w:r>
      <w:r>
        <w:t>&lt;</w:t>
      </w:r>
      <w:r w:rsidR="00C62D6A">
        <w:t> </w:t>
      </w:r>
      <w:r>
        <w:t>0,</w:t>
      </w:r>
      <w:r w:rsidR="00CB3D92">
        <w:t>001</w:t>
      </w:r>
      <w:r>
        <w:t>). In vergelijking met 2010 (21,</w:t>
      </w:r>
      <w:r w:rsidR="00CB3D92">
        <w:t>7%), is dit een significante afname bij de jongens (chi²</w:t>
      </w:r>
      <w:r w:rsidR="00C62D6A">
        <w:t> </w:t>
      </w:r>
      <w:r w:rsidR="00CB3D92">
        <w:t>=</w:t>
      </w:r>
      <w:r w:rsidR="00C62D6A">
        <w:t> </w:t>
      </w:r>
      <w:r w:rsidR="003C53F6">
        <w:t>6</w:t>
      </w:r>
      <w:r>
        <w:t xml:space="preserve">,8; </w:t>
      </w:r>
      <w:proofErr w:type="spellStart"/>
      <w:r>
        <w:t>df</w:t>
      </w:r>
      <w:proofErr w:type="spellEnd"/>
      <w:r w:rsidR="00C62D6A">
        <w:t> </w:t>
      </w:r>
      <w:r>
        <w:t>=</w:t>
      </w:r>
      <w:r w:rsidR="00C62D6A">
        <w:t> </w:t>
      </w:r>
      <w:r>
        <w:t>1; p</w:t>
      </w:r>
      <w:r w:rsidR="00C62D6A">
        <w:t> </w:t>
      </w:r>
      <w:r>
        <w:t>=</w:t>
      </w:r>
      <w:r w:rsidR="00C62D6A">
        <w:t> </w:t>
      </w:r>
      <w:r>
        <w:t>0,</w:t>
      </w:r>
      <w:r w:rsidR="00CB3D92">
        <w:t>009). Bij de meisjes stellen we een lichte toename vast, van 13</w:t>
      </w:r>
      <w:r>
        <w:t>,</w:t>
      </w:r>
      <w:r w:rsidR="00CB3D92">
        <w:t>8% in 2010</w:t>
      </w:r>
      <w:r>
        <w:t xml:space="preserve"> naar 15,2% in 2014</w:t>
      </w:r>
      <w:r w:rsidR="00CB3D92">
        <w:t>. Dit verschil is echter niet statistisch signifi</w:t>
      </w:r>
      <w:r>
        <w:t>cant (chi²</w:t>
      </w:r>
      <w:r w:rsidR="00C62D6A">
        <w:t> </w:t>
      </w:r>
      <w:r>
        <w:t>=</w:t>
      </w:r>
      <w:r w:rsidR="00C62D6A">
        <w:t> </w:t>
      </w:r>
      <w:r>
        <w:t xml:space="preserve">2,8; </w:t>
      </w:r>
      <w:proofErr w:type="spellStart"/>
      <w:r>
        <w:t>df</w:t>
      </w:r>
      <w:proofErr w:type="spellEnd"/>
      <w:r w:rsidR="00C62D6A">
        <w:t> </w:t>
      </w:r>
      <w:r>
        <w:t>=</w:t>
      </w:r>
      <w:r w:rsidR="00C62D6A">
        <w:t> </w:t>
      </w:r>
      <w:r>
        <w:t>1; p</w:t>
      </w:r>
      <w:r w:rsidR="00C62D6A">
        <w:t> </w:t>
      </w:r>
      <w:r>
        <w:t>=</w:t>
      </w:r>
      <w:r w:rsidR="00C62D6A">
        <w:t> </w:t>
      </w:r>
      <w:r>
        <w:t>0,</w:t>
      </w:r>
      <w:r w:rsidR="00CB3D92">
        <w:t>093).</w:t>
      </w:r>
    </w:p>
    <w:p w14:paraId="7F792BA0" w14:textId="77777777" w:rsidR="007370EA" w:rsidRDefault="007370EA" w:rsidP="00395444">
      <w:pPr>
        <w:rPr>
          <w:highlight w:val="yellow"/>
        </w:rPr>
      </w:pPr>
    </w:p>
    <w:p w14:paraId="668B9701" w14:textId="77777777" w:rsidR="00565318" w:rsidRDefault="003E290D" w:rsidP="00395444">
      <w:r w:rsidRPr="003E290D">
        <w:t xml:space="preserve">In grafiek 1 staan de resultaten </w:t>
      </w:r>
      <w:r w:rsidR="00565318" w:rsidRPr="003E290D">
        <w:t xml:space="preserve">van het ooit gebruik van cannabis </w:t>
      </w:r>
      <w:r w:rsidR="00CB3D92">
        <w:t xml:space="preserve">per leeftijdsgroep in 2006, </w:t>
      </w:r>
      <w:r w:rsidRPr="003E290D">
        <w:t>2010</w:t>
      </w:r>
      <w:r w:rsidR="00CB3D92">
        <w:t xml:space="preserve"> en 2014</w:t>
      </w:r>
      <w:r w:rsidR="00565318" w:rsidRPr="003E290D">
        <w:t xml:space="preserve">. </w:t>
      </w:r>
    </w:p>
    <w:p w14:paraId="142CE133" w14:textId="77777777" w:rsidR="00E96C1C" w:rsidRDefault="00E96C1C" w:rsidP="00395444"/>
    <w:p w14:paraId="50AF23F4" w14:textId="77777777" w:rsidR="00E96C1C" w:rsidRPr="003E290D" w:rsidRDefault="00E96C1C" w:rsidP="00395444">
      <w:r w:rsidRPr="000E1510">
        <w:rPr>
          <w:noProof/>
          <w:lang w:val="nl-BE" w:eastAsia="nl-BE"/>
        </w:rPr>
        <w:drawing>
          <wp:inline distT="0" distB="0" distL="0" distR="0" wp14:anchorId="36D6A8D4" wp14:editId="64179086">
            <wp:extent cx="5486400" cy="3173186"/>
            <wp:effectExtent l="0" t="0" r="0" b="8255"/>
            <wp:docPr id="20" name="Char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34B9BB" w14:textId="292FEAEC" w:rsidR="003C53F6" w:rsidRPr="0051318B" w:rsidRDefault="003C53F6" w:rsidP="003C53F6">
      <w:pPr>
        <w:pStyle w:val="Caption"/>
      </w:pPr>
      <w:r w:rsidRPr="00626518">
        <w:t>Grafiek</w:t>
      </w:r>
      <w:r w:rsidRPr="0051318B">
        <w:t xml:space="preserve"> </w:t>
      </w:r>
      <w:fldSimple w:instr=" SEQ Grafiek \* ARABIC ">
        <w:r w:rsidR="00F9683D">
          <w:rPr>
            <w:noProof/>
          </w:rPr>
          <w:t>1</w:t>
        </w:r>
      </w:fldSimple>
      <w:r w:rsidRPr="0051318B">
        <w:t xml:space="preserve"> Percentage prevalentie life-time consumptie cannabis naar leeftijd en geslacht</w:t>
      </w:r>
    </w:p>
    <w:p w14:paraId="251C33B0" w14:textId="77777777" w:rsidR="00996E66" w:rsidRDefault="00996E66" w:rsidP="00395444"/>
    <w:p w14:paraId="2E3F0F83" w14:textId="63555CDA" w:rsidR="00E62343" w:rsidRDefault="00996E66" w:rsidP="00395444">
      <w:r>
        <w:t>Naar opleiding en geslacht zijn, net zoals in 2010, ook in 2014 duidelijke verschillen in het ooit gebruik van cannabis merkbaar tussen de verschillende opleidingstypes. In 2014 is het ooit gebruik van cannabis het laagste in het algemeen secundair onderwijs: 19</w:t>
      </w:r>
      <w:r w:rsidR="00A435D3">
        <w:t>,</w:t>
      </w:r>
      <w:r>
        <w:t xml:space="preserve">1% van de jongens in het algemeen onderwijs hebben reeds cannabis geconsumeerd en </w:t>
      </w:r>
      <w:r w:rsidR="00A435D3">
        <w:t>14,8</w:t>
      </w:r>
      <w:r>
        <w:t xml:space="preserve">% van de meisjes. Het hoogst is het gebruik in het beroepsonderwijs, waar de prevalentie 30.5% is voor de jongens en </w:t>
      </w:r>
      <w:r w:rsidR="00A435D3">
        <w:t>30,6</w:t>
      </w:r>
      <w:r>
        <w:t xml:space="preserve">% voor de meisjes, op de voet gevolgd door het technisch onderwijs (respectievelijk 30.4% en </w:t>
      </w:r>
      <w:r w:rsidR="00A435D3">
        <w:t>24,7</w:t>
      </w:r>
      <w:r>
        <w:t xml:space="preserve">%) (jongens: chi² = 30.6; </w:t>
      </w:r>
      <w:proofErr w:type="spellStart"/>
      <w:r>
        <w:t>df</w:t>
      </w:r>
      <w:proofErr w:type="spellEnd"/>
      <w:r>
        <w:t xml:space="preserve"> = 2; p &lt; 0.001; meisjes: chi² = 64.7; </w:t>
      </w:r>
      <w:proofErr w:type="spellStart"/>
      <w:r>
        <w:t>df</w:t>
      </w:r>
      <w:proofErr w:type="spellEnd"/>
      <w:r>
        <w:t> = 2; p &lt; 0.001).</w:t>
      </w:r>
    </w:p>
    <w:p w14:paraId="6717BA8D" w14:textId="77777777" w:rsidR="006732A9" w:rsidRDefault="006732A9" w:rsidP="00395444">
      <w:bookmarkStart w:id="0" w:name="_GoBack"/>
      <w:bookmarkEnd w:id="0"/>
    </w:p>
    <w:p w14:paraId="4C60A754" w14:textId="1B6EFA3A" w:rsidR="00996E66" w:rsidRDefault="00A435D3" w:rsidP="00395444">
      <w:r>
        <w:t xml:space="preserve">In vergelijking met de gegevens uit 2010 daalt het ooit gebruik van cannabis binnen alle onderwijstypes, al is deze daling enkel significant binnen het technisch en beroepsonderwijs (ASO: chi² = 3.3; </w:t>
      </w:r>
      <w:proofErr w:type="spellStart"/>
      <w:r>
        <w:t>df</w:t>
      </w:r>
      <w:proofErr w:type="spellEnd"/>
      <w:r>
        <w:t xml:space="preserve"> = 1; p = 0,069; TSO: chi² = 6,8; </w:t>
      </w:r>
      <w:proofErr w:type="spellStart"/>
      <w:r>
        <w:t>df</w:t>
      </w:r>
      <w:proofErr w:type="spellEnd"/>
      <w:r>
        <w:t xml:space="preserve"> = 1; p = 0,009; BSO: chi² = 5.5; </w:t>
      </w:r>
      <w:proofErr w:type="spellStart"/>
      <w:r>
        <w:t>df</w:t>
      </w:r>
      <w:proofErr w:type="spellEnd"/>
      <w:r>
        <w:t xml:space="preserve"> = 1; p = 0,019). Bij de meisjes daalt het ooit gebruik binnen het algemeen onderwijs maar stijgt het daarentegen binnen het technisch en beroepsonderwijs. Enkel de stijging binnen het beroepsonderwijs is echter statistisch significant (ASO: chi² = 0,4; </w:t>
      </w:r>
      <w:proofErr w:type="spellStart"/>
      <w:r>
        <w:t>df</w:t>
      </w:r>
      <w:proofErr w:type="spellEnd"/>
      <w:r>
        <w:t xml:space="preserve"> = 1; p = 0,532; TSO: chi² = 1,8; </w:t>
      </w:r>
      <w:proofErr w:type="spellStart"/>
      <w:r>
        <w:t>df</w:t>
      </w:r>
      <w:proofErr w:type="spellEnd"/>
      <w:r>
        <w:t xml:space="preserve"> = 1; p = 0,181; BSO: chi² = 5,9; </w:t>
      </w:r>
      <w:proofErr w:type="spellStart"/>
      <w:r>
        <w:t>df</w:t>
      </w:r>
      <w:proofErr w:type="spellEnd"/>
      <w:r>
        <w:t> = 1; p = 0,015).</w:t>
      </w:r>
      <w:r w:rsidR="00F9683D">
        <w:t xml:space="preserve"> De evolutie van de prevalentiecijfers zijn weergegeven in grafiek 2.</w:t>
      </w:r>
    </w:p>
    <w:p w14:paraId="339194C5" w14:textId="77777777" w:rsidR="00A435D3" w:rsidRDefault="00A435D3" w:rsidP="00395444"/>
    <w:p w14:paraId="4C9204D1" w14:textId="77777777" w:rsidR="00F9683D" w:rsidRDefault="00A435D3" w:rsidP="00F9683D">
      <w:pPr>
        <w:keepNext/>
      </w:pPr>
      <w:r w:rsidRPr="000E1510">
        <w:rPr>
          <w:noProof/>
          <w:lang w:val="nl-BE" w:eastAsia="nl-BE"/>
        </w:rPr>
        <w:drawing>
          <wp:inline distT="0" distB="0" distL="0" distR="0" wp14:anchorId="28C9B1B1" wp14:editId="7D4AAAD1">
            <wp:extent cx="5486400" cy="3173186"/>
            <wp:effectExtent l="0" t="0" r="0" b="825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ECB5CA" w14:textId="20CE06FA" w:rsidR="00A435D3" w:rsidRDefault="00F9683D" w:rsidP="00F9683D">
      <w:pPr>
        <w:pStyle w:val="Caption"/>
      </w:pPr>
      <w:r>
        <w:t xml:space="preserve">Grafiek </w:t>
      </w:r>
      <w:fldSimple w:instr=" SEQ Grafiek \* ARABIC ">
        <w:r>
          <w:rPr>
            <w:noProof/>
          </w:rPr>
          <w:t>2</w:t>
        </w:r>
      </w:fldSimple>
      <w:r>
        <w:t xml:space="preserve"> </w:t>
      </w:r>
      <w:r w:rsidRPr="00DB57A5">
        <w:t xml:space="preserve">Percentage prevalentie life-time consumptie cannabis naar </w:t>
      </w:r>
      <w:r>
        <w:t>opleiding</w:t>
      </w:r>
      <w:r w:rsidRPr="00DB57A5">
        <w:t xml:space="preserve"> en geslacht</w:t>
      </w:r>
    </w:p>
    <w:p w14:paraId="46A3F24E" w14:textId="77777777" w:rsidR="00996E66" w:rsidRDefault="00996E66" w:rsidP="00395444"/>
    <w:p w14:paraId="15504FF5" w14:textId="77777777" w:rsidR="007370EA" w:rsidRPr="00237B54" w:rsidRDefault="007370EA" w:rsidP="00626518">
      <w:pPr>
        <w:pStyle w:val="Heading2"/>
      </w:pPr>
      <w:r w:rsidRPr="00237B54">
        <w:t>Laatste maand gebruik van cannabis</w:t>
      </w:r>
    </w:p>
    <w:p w14:paraId="4A075FA8" w14:textId="3387FF2E" w:rsidR="000B415F" w:rsidRDefault="00F9683D" w:rsidP="00395444">
      <w:r>
        <w:t>In 2014</w:t>
      </w:r>
      <w:r w:rsidR="00237B54" w:rsidRPr="00237B54">
        <w:t xml:space="preserve"> ga</w:t>
      </w:r>
      <w:r>
        <w:t>ven significant meer jongens dan meisjes aan dat ze in de laatste maand cannabis gebruikt hadden:</w:t>
      </w:r>
      <w:r w:rsidR="00237B54" w:rsidRPr="00237B54">
        <w:t xml:space="preserve"> 9</w:t>
      </w:r>
      <w:r>
        <w:t>,8% van de jongens in vergelijking met</w:t>
      </w:r>
      <w:r w:rsidR="0051318B">
        <w:t xml:space="preserve"> 6,</w:t>
      </w:r>
      <w:r w:rsidR="00237B54" w:rsidRPr="00237B54">
        <w:t xml:space="preserve">3% van de meisjes </w:t>
      </w:r>
      <w:r w:rsidR="0051318B">
        <w:t>(chi²</w:t>
      </w:r>
      <w:r w:rsidR="00C62D6A">
        <w:t> </w:t>
      </w:r>
      <w:r w:rsidR="0051318B">
        <w:t>=</w:t>
      </w:r>
      <w:r w:rsidR="00C62D6A">
        <w:t> </w:t>
      </w:r>
      <w:r w:rsidR="0051318B">
        <w:t xml:space="preserve">26,6; </w:t>
      </w:r>
      <w:proofErr w:type="spellStart"/>
      <w:r w:rsidR="0051318B">
        <w:t>df</w:t>
      </w:r>
      <w:proofErr w:type="spellEnd"/>
      <w:r w:rsidR="00C62D6A">
        <w:t> </w:t>
      </w:r>
      <w:r w:rsidR="0051318B">
        <w:t>=</w:t>
      </w:r>
      <w:r w:rsidR="00C62D6A">
        <w:t> </w:t>
      </w:r>
      <w:r w:rsidR="0051318B">
        <w:t>1; p</w:t>
      </w:r>
      <w:r w:rsidR="00C62D6A">
        <w:t> </w:t>
      </w:r>
      <w:r w:rsidR="0051318B">
        <w:t>&lt;</w:t>
      </w:r>
      <w:r w:rsidR="00C62D6A">
        <w:t> </w:t>
      </w:r>
      <w:r w:rsidR="0051318B">
        <w:t>0,</w:t>
      </w:r>
      <w:r w:rsidR="00237B54" w:rsidRPr="00237B54">
        <w:t>001).</w:t>
      </w:r>
      <w:r w:rsidR="00237B54">
        <w:t xml:space="preserve"> Gebruik van cannabis in de laatste 30 dagen neemt </w:t>
      </w:r>
      <w:r>
        <w:t xml:space="preserve">zowel bij jongens als bij meisjes </w:t>
      </w:r>
      <w:r w:rsidR="00237B54">
        <w:t>sterk toe naarmate de leeftijd toeneemt</w:t>
      </w:r>
      <w:r>
        <w:t xml:space="preserve"> (jongens: chi² = 177,2; </w:t>
      </w:r>
      <w:proofErr w:type="spellStart"/>
      <w:r>
        <w:t>df</w:t>
      </w:r>
      <w:proofErr w:type="spellEnd"/>
      <w:r>
        <w:t> = 2; p &lt; 0,001; meisjes: chi² = </w:t>
      </w:r>
      <w:r w:rsidR="000F7AC9">
        <w:t>73,2</w:t>
      </w:r>
      <w:r>
        <w:t xml:space="preserve">; </w:t>
      </w:r>
      <w:proofErr w:type="spellStart"/>
      <w:r>
        <w:t>df</w:t>
      </w:r>
      <w:proofErr w:type="spellEnd"/>
      <w:r>
        <w:t> = </w:t>
      </w:r>
      <w:r w:rsidR="000F7AC9">
        <w:t>2</w:t>
      </w:r>
      <w:r>
        <w:t>; p </w:t>
      </w:r>
      <w:r w:rsidR="000F7AC9">
        <w:t>&lt;</w:t>
      </w:r>
      <w:r>
        <w:t> 0,</w:t>
      </w:r>
      <w:r w:rsidR="000F7AC9">
        <w:t>001</w:t>
      </w:r>
      <w:r>
        <w:t>)</w:t>
      </w:r>
      <w:r w:rsidR="00237B54">
        <w:t xml:space="preserve"> (zie </w:t>
      </w:r>
      <w:r w:rsidR="002C1BA5">
        <w:t>tabel 1</w:t>
      </w:r>
      <w:r w:rsidR="00237B54">
        <w:t>)</w:t>
      </w:r>
      <w:r>
        <w:t xml:space="preserve"> </w:t>
      </w:r>
      <w:r w:rsidR="00237B54">
        <w:t>.</w:t>
      </w:r>
      <w:r w:rsidR="000B415F">
        <w:t xml:space="preserve"> Het merendeel van de jongeren dat cannabis gebruikt, doet dit 1-2 dagen per maand.</w:t>
      </w:r>
    </w:p>
    <w:p w14:paraId="17ED8740" w14:textId="0CCFA852" w:rsidR="00237B54" w:rsidRDefault="00237B54" w:rsidP="00395444"/>
    <w:p w14:paraId="0E6A6637" w14:textId="10FC617F" w:rsidR="00CB3D92" w:rsidRDefault="00237B54" w:rsidP="00395444">
      <w:r>
        <w:t xml:space="preserve">In 2010 was </w:t>
      </w:r>
      <w:r w:rsidR="000B415F">
        <w:t>het cannabisgebruik in de laatste 30 dagen</w:t>
      </w:r>
      <w:r>
        <w:t xml:space="preserve"> respectievelijk nog 11</w:t>
      </w:r>
      <w:r w:rsidR="0051318B">
        <w:t>,3% bij de jongens en 4,</w:t>
      </w:r>
      <w:r>
        <w:t>9% bij de meisjes. Zowel de daling bij de jongens als de toename bij de meisjes zijn statistisch</w:t>
      </w:r>
      <w:r w:rsidR="0051318B">
        <w:t xml:space="preserve"> significant (jongens: chi²</w:t>
      </w:r>
      <w:r w:rsidR="00C62D6A">
        <w:t> </w:t>
      </w:r>
      <w:r w:rsidR="0051318B">
        <w:t>=</w:t>
      </w:r>
      <w:r w:rsidR="00C62D6A">
        <w:t> </w:t>
      </w:r>
      <w:r w:rsidR="0051318B">
        <w:t xml:space="preserve">4,6; </w:t>
      </w:r>
      <w:proofErr w:type="spellStart"/>
      <w:r w:rsidR="0051318B">
        <w:t>df</w:t>
      </w:r>
      <w:proofErr w:type="spellEnd"/>
      <w:r w:rsidR="00C62D6A">
        <w:t> </w:t>
      </w:r>
      <w:r w:rsidR="0051318B">
        <w:t>=</w:t>
      </w:r>
      <w:r w:rsidR="00C62D6A">
        <w:t> </w:t>
      </w:r>
      <w:r w:rsidR="0051318B">
        <w:t>1; p</w:t>
      </w:r>
      <w:r w:rsidR="00C62D6A">
        <w:t> </w:t>
      </w:r>
      <w:r w:rsidR="0051318B">
        <w:t>=</w:t>
      </w:r>
      <w:r w:rsidR="00C62D6A">
        <w:t> </w:t>
      </w:r>
      <w:r w:rsidR="0051318B">
        <w:t>0,</w:t>
      </w:r>
      <w:r>
        <w:t>031, meisjes: chi²</w:t>
      </w:r>
      <w:r w:rsidR="00C62D6A">
        <w:t> </w:t>
      </w:r>
      <w:r>
        <w:t>=</w:t>
      </w:r>
      <w:r w:rsidR="00C62D6A">
        <w:t> </w:t>
      </w:r>
      <w:r>
        <w:t>5</w:t>
      </w:r>
      <w:r w:rsidR="0051318B">
        <w:t>,</w:t>
      </w:r>
      <w:r>
        <w:t xml:space="preserve">9; </w:t>
      </w:r>
      <w:proofErr w:type="spellStart"/>
      <w:r>
        <w:t>df</w:t>
      </w:r>
      <w:proofErr w:type="spellEnd"/>
      <w:r w:rsidR="00C62D6A">
        <w:t> </w:t>
      </w:r>
      <w:r>
        <w:t>=</w:t>
      </w:r>
      <w:r w:rsidR="00C62D6A">
        <w:t> </w:t>
      </w:r>
      <w:r>
        <w:t>1; p</w:t>
      </w:r>
      <w:r w:rsidR="00C62D6A">
        <w:t> </w:t>
      </w:r>
      <w:r>
        <w:t>=</w:t>
      </w:r>
      <w:r w:rsidR="00C62D6A">
        <w:t> </w:t>
      </w:r>
      <w:r>
        <w:t>0</w:t>
      </w:r>
      <w:r w:rsidR="0051318B">
        <w:t>,</w:t>
      </w:r>
      <w:r>
        <w:t>015). Wanneer we een opsplitsing maken naar leeftijdsgroepen, dan zien we dat de daling bij de jongens veroorzaakt wordt door de leeftijdsgroep</w:t>
      </w:r>
      <w:r w:rsidR="00F57F2A">
        <w:t xml:space="preserve"> 17-18-</w:t>
      </w:r>
      <w:r>
        <w:t>jarigen</w:t>
      </w:r>
      <w:r w:rsidR="000F7AC9">
        <w:t xml:space="preserve"> (chi² = 4,4; </w:t>
      </w:r>
      <w:proofErr w:type="spellStart"/>
      <w:r w:rsidR="000F7AC9">
        <w:t>df</w:t>
      </w:r>
      <w:proofErr w:type="spellEnd"/>
      <w:r w:rsidR="000F7AC9">
        <w:t> = 1; p = 0,035)</w:t>
      </w:r>
      <w:r>
        <w:t>, terwijl de toename bij de meisjes te wijten</w:t>
      </w:r>
      <w:r w:rsidR="00F57F2A">
        <w:t xml:space="preserve"> is aan de leeftijdsgroep 15-16-</w:t>
      </w:r>
      <w:r>
        <w:t>jarigen</w:t>
      </w:r>
      <w:r w:rsidR="000F7AC9">
        <w:t xml:space="preserve"> (chi² = 5,3; </w:t>
      </w:r>
      <w:proofErr w:type="spellStart"/>
      <w:r w:rsidR="000F7AC9">
        <w:t>df</w:t>
      </w:r>
      <w:proofErr w:type="spellEnd"/>
      <w:r w:rsidR="000F7AC9">
        <w:t> = 1; p = 0,022)</w:t>
      </w:r>
      <w:r>
        <w:t>.</w:t>
      </w:r>
    </w:p>
    <w:p w14:paraId="4D3E7064" w14:textId="77777777" w:rsidR="006732A9" w:rsidRDefault="006732A9" w:rsidP="00626518">
      <w:pPr>
        <w:pStyle w:val="Caption"/>
      </w:pPr>
    </w:p>
    <w:p w14:paraId="04E52DDD" w14:textId="77777777" w:rsidR="002C1BA5" w:rsidRPr="0051318B" w:rsidRDefault="002C1BA5" w:rsidP="00626518">
      <w:pPr>
        <w:pStyle w:val="Caption"/>
        <w:rPr>
          <w:i/>
        </w:rPr>
      </w:pPr>
      <w:r w:rsidRPr="0051318B">
        <w:t xml:space="preserve">Tabel </w:t>
      </w:r>
      <w:fldSimple w:instr=" SEQ Tabel \* ARABIC ">
        <w:r w:rsidR="00BE1605">
          <w:rPr>
            <w:noProof/>
          </w:rPr>
          <w:t>1</w:t>
        </w:r>
      </w:fldSimple>
      <w:r w:rsidR="00F57F2A">
        <w:t xml:space="preserve"> Percentage c</w:t>
      </w:r>
      <w:r w:rsidRPr="0051318B">
        <w:t>onsumptie cannabis in laatste 30 dagen naar leeftijd en geslacht</w:t>
      </w:r>
    </w:p>
    <w:tbl>
      <w:tblPr>
        <w:tblStyle w:val="TableGridLight"/>
        <w:tblW w:w="0" w:type="auto"/>
        <w:jc w:val="center"/>
        <w:tblLook w:val="04A0" w:firstRow="1" w:lastRow="0" w:firstColumn="1" w:lastColumn="0" w:noHBand="0" w:noVBand="1"/>
      </w:tblPr>
      <w:tblGrid>
        <w:gridCol w:w="1283"/>
        <w:gridCol w:w="1299"/>
        <w:gridCol w:w="1294"/>
        <w:gridCol w:w="1299"/>
        <w:gridCol w:w="1294"/>
        <w:gridCol w:w="1299"/>
        <w:gridCol w:w="1294"/>
      </w:tblGrid>
      <w:tr w:rsidR="00C64460" w:rsidRPr="00626518" w14:paraId="019636C1" w14:textId="77777777" w:rsidTr="00626518">
        <w:trPr>
          <w:jc w:val="center"/>
        </w:trPr>
        <w:tc>
          <w:tcPr>
            <w:tcW w:w="1316" w:type="dxa"/>
          </w:tcPr>
          <w:p w14:paraId="671D24D7" w14:textId="77777777" w:rsidR="00C64460" w:rsidRPr="00626518" w:rsidRDefault="00C64460" w:rsidP="00626518">
            <w:pPr>
              <w:jc w:val="center"/>
              <w:rPr>
                <w:b/>
                <w:sz w:val="18"/>
                <w:szCs w:val="18"/>
              </w:rPr>
            </w:pPr>
          </w:p>
        </w:tc>
        <w:tc>
          <w:tcPr>
            <w:tcW w:w="2632" w:type="dxa"/>
            <w:gridSpan w:val="2"/>
          </w:tcPr>
          <w:p w14:paraId="641B36BA" w14:textId="77777777" w:rsidR="00C64460" w:rsidRPr="00626518" w:rsidRDefault="00C64460" w:rsidP="00626518">
            <w:pPr>
              <w:jc w:val="center"/>
              <w:rPr>
                <w:b/>
                <w:sz w:val="18"/>
                <w:szCs w:val="18"/>
              </w:rPr>
            </w:pPr>
            <w:r w:rsidRPr="00626518">
              <w:rPr>
                <w:b/>
                <w:sz w:val="18"/>
                <w:szCs w:val="18"/>
              </w:rPr>
              <w:t>13-14</w:t>
            </w:r>
          </w:p>
        </w:tc>
        <w:tc>
          <w:tcPr>
            <w:tcW w:w="2632" w:type="dxa"/>
            <w:gridSpan w:val="2"/>
          </w:tcPr>
          <w:p w14:paraId="030F699F" w14:textId="77777777" w:rsidR="00C64460" w:rsidRPr="00626518" w:rsidRDefault="00C64460" w:rsidP="00626518">
            <w:pPr>
              <w:jc w:val="center"/>
              <w:rPr>
                <w:b/>
                <w:sz w:val="18"/>
                <w:szCs w:val="18"/>
              </w:rPr>
            </w:pPr>
            <w:r w:rsidRPr="00626518">
              <w:rPr>
                <w:b/>
                <w:sz w:val="18"/>
                <w:szCs w:val="18"/>
              </w:rPr>
              <w:t>15-16</w:t>
            </w:r>
          </w:p>
        </w:tc>
        <w:tc>
          <w:tcPr>
            <w:tcW w:w="2632" w:type="dxa"/>
            <w:gridSpan w:val="2"/>
          </w:tcPr>
          <w:p w14:paraId="0153A965" w14:textId="77777777" w:rsidR="00C64460" w:rsidRPr="00626518" w:rsidRDefault="00C64460" w:rsidP="00626518">
            <w:pPr>
              <w:jc w:val="center"/>
              <w:rPr>
                <w:b/>
                <w:sz w:val="18"/>
                <w:szCs w:val="18"/>
              </w:rPr>
            </w:pPr>
            <w:r w:rsidRPr="00626518">
              <w:rPr>
                <w:b/>
                <w:sz w:val="18"/>
                <w:szCs w:val="18"/>
              </w:rPr>
              <w:t>17-18</w:t>
            </w:r>
          </w:p>
        </w:tc>
      </w:tr>
      <w:tr w:rsidR="00C64460" w:rsidRPr="00626518" w14:paraId="1BF03952" w14:textId="77777777" w:rsidTr="00626518">
        <w:trPr>
          <w:jc w:val="center"/>
        </w:trPr>
        <w:tc>
          <w:tcPr>
            <w:tcW w:w="1316" w:type="dxa"/>
            <w:tcBorders>
              <w:bottom w:val="single" w:sz="4" w:space="0" w:color="auto"/>
            </w:tcBorders>
          </w:tcPr>
          <w:p w14:paraId="7ABF30EB" w14:textId="77777777" w:rsidR="00C64460" w:rsidRPr="00626518" w:rsidRDefault="00C64460" w:rsidP="00626518">
            <w:pPr>
              <w:jc w:val="center"/>
              <w:rPr>
                <w:b/>
                <w:sz w:val="18"/>
                <w:szCs w:val="18"/>
              </w:rPr>
            </w:pPr>
          </w:p>
        </w:tc>
        <w:tc>
          <w:tcPr>
            <w:tcW w:w="1316" w:type="dxa"/>
            <w:tcBorders>
              <w:bottom w:val="single" w:sz="4" w:space="0" w:color="auto"/>
            </w:tcBorders>
          </w:tcPr>
          <w:p w14:paraId="13C497E6" w14:textId="77777777" w:rsidR="00C64460" w:rsidRPr="00626518" w:rsidRDefault="00C64460" w:rsidP="00626518">
            <w:pPr>
              <w:jc w:val="center"/>
              <w:rPr>
                <w:b/>
                <w:sz w:val="18"/>
                <w:szCs w:val="18"/>
              </w:rPr>
            </w:pPr>
            <w:r w:rsidRPr="00626518">
              <w:rPr>
                <w:b/>
                <w:sz w:val="18"/>
                <w:szCs w:val="18"/>
              </w:rPr>
              <w:t>Jongens</w:t>
            </w:r>
          </w:p>
        </w:tc>
        <w:tc>
          <w:tcPr>
            <w:tcW w:w="1316" w:type="dxa"/>
            <w:tcBorders>
              <w:bottom w:val="single" w:sz="4" w:space="0" w:color="auto"/>
            </w:tcBorders>
          </w:tcPr>
          <w:p w14:paraId="7804073A" w14:textId="77777777" w:rsidR="00C64460" w:rsidRPr="00626518" w:rsidRDefault="00C64460" w:rsidP="00626518">
            <w:pPr>
              <w:jc w:val="center"/>
              <w:rPr>
                <w:b/>
                <w:sz w:val="18"/>
                <w:szCs w:val="18"/>
              </w:rPr>
            </w:pPr>
            <w:r w:rsidRPr="00626518">
              <w:rPr>
                <w:b/>
                <w:sz w:val="18"/>
                <w:szCs w:val="18"/>
              </w:rPr>
              <w:t>Meisjes</w:t>
            </w:r>
          </w:p>
        </w:tc>
        <w:tc>
          <w:tcPr>
            <w:tcW w:w="1316" w:type="dxa"/>
            <w:tcBorders>
              <w:bottom w:val="single" w:sz="4" w:space="0" w:color="auto"/>
            </w:tcBorders>
          </w:tcPr>
          <w:p w14:paraId="4D963082" w14:textId="77777777" w:rsidR="00C64460" w:rsidRPr="00626518" w:rsidRDefault="00C64460" w:rsidP="00626518">
            <w:pPr>
              <w:jc w:val="center"/>
              <w:rPr>
                <w:b/>
                <w:sz w:val="18"/>
                <w:szCs w:val="18"/>
              </w:rPr>
            </w:pPr>
            <w:r w:rsidRPr="00626518">
              <w:rPr>
                <w:b/>
                <w:sz w:val="18"/>
                <w:szCs w:val="18"/>
              </w:rPr>
              <w:t>Jongens</w:t>
            </w:r>
          </w:p>
        </w:tc>
        <w:tc>
          <w:tcPr>
            <w:tcW w:w="1316" w:type="dxa"/>
            <w:tcBorders>
              <w:bottom w:val="single" w:sz="4" w:space="0" w:color="auto"/>
            </w:tcBorders>
          </w:tcPr>
          <w:p w14:paraId="15CFCF8F" w14:textId="77777777" w:rsidR="00C64460" w:rsidRPr="00626518" w:rsidRDefault="00C64460" w:rsidP="00626518">
            <w:pPr>
              <w:jc w:val="center"/>
              <w:rPr>
                <w:b/>
                <w:sz w:val="18"/>
                <w:szCs w:val="18"/>
              </w:rPr>
            </w:pPr>
            <w:r w:rsidRPr="00626518">
              <w:rPr>
                <w:b/>
                <w:sz w:val="18"/>
                <w:szCs w:val="18"/>
              </w:rPr>
              <w:t>Meisjes</w:t>
            </w:r>
          </w:p>
        </w:tc>
        <w:tc>
          <w:tcPr>
            <w:tcW w:w="1316" w:type="dxa"/>
            <w:tcBorders>
              <w:bottom w:val="single" w:sz="4" w:space="0" w:color="auto"/>
            </w:tcBorders>
          </w:tcPr>
          <w:p w14:paraId="605A5CBE" w14:textId="77777777" w:rsidR="00C64460" w:rsidRPr="00626518" w:rsidRDefault="00C64460" w:rsidP="00626518">
            <w:pPr>
              <w:jc w:val="center"/>
              <w:rPr>
                <w:b/>
                <w:sz w:val="18"/>
                <w:szCs w:val="18"/>
              </w:rPr>
            </w:pPr>
            <w:r w:rsidRPr="00626518">
              <w:rPr>
                <w:b/>
                <w:sz w:val="18"/>
                <w:szCs w:val="18"/>
              </w:rPr>
              <w:t>Jongens</w:t>
            </w:r>
          </w:p>
        </w:tc>
        <w:tc>
          <w:tcPr>
            <w:tcW w:w="1316" w:type="dxa"/>
            <w:tcBorders>
              <w:bottom w:val="single" w:sz="4" w:space="0" w:color="auto"/>
            </w:tcBorders>
          </w:tcPr>
          <w:p w14:paraId="05A4BCEB" w14:textId="77777777" w:rsidR="00C64460" w:rsidRPr="00626518" w:rsidRDefault="00C64460" w:rsidP="00626518">
            <w:pPr>
              <w:jc w:val="center"/>
              <w:rPr>
                <w:b/>
                <w:sz w:val="18"/>
                <w:szCs w:val="18"/>
              </w:rPr>
            </w:pPr>
            <w:r w:rsidRPr="00626518">
              <w:rPr>
                <w:b/>
                <w:sz w:val="18"/>
                <w:szCs w:val="18"/>
              </w:rPr>
              <w:t>Meisjes</w:t>
            </w:r>
          </w:p>
        </w:tc>
      </w:tr>
      <w:tr w:rsidR="00C64460" w:rsidRPr="00626518" w14:paraId="316FD198" w14:textId="77777777" w:rsidTr="00626518">
        <w:trPr>
          <w:jc w:val="center"/>
        </w:trPr>
        <w:tc>
          <w:tcPr>
            <w:tcW w:w="1316" w:type="dxa"/>
            <w:tcBorders>
              <w:top w:val="single" w:sz="4" w:space="0" w:color="auto"/>
            </w:tcBorders>
          </w:tcPr>
          <w:p w14:paraId="69D3D03C" w14:textId="77777777" w:rsidR="00C64460" w:rsidRPr="00626518" w:rsidRDefault="00C64460" w:rsidP="00626518">
            <w:pPr>
              <w:jc w:val="center"/>
              <w:rPr>
                <w:b/>
                <w:sz w:val="18"/>
                <w:szCs w:val="18"/>
              </w:rPr>
            </w:pPr>
            <w:r w:rsidRPr="00626518">
              <w:rPr>
                <w:sz w:val="18"/>
                <w:szCs w:val="18"/>
              </w:rPr>
              <w:t>Nooit</w:t>
            </w:r>
          </w:p>
        </w:tc>
        <w:tc>
          <w:tcPr>
            <w:tcW w:w="1316" w:type="dxa"/>
            <w:tcBorders>
              <w:top w:val="single" w:sz="4" w:space="0" w:color="auto"/>
            </w:tcBorders>
          </w:tcPr>
          <w:p w14:paraId="7DE878A4" w14:textId="77777777" w:rsidR="00C64460" w:rsidRPr="00626518" w:rsidRDefault="00C64460" w:rsidP="00626518">
            <w:pPr>
              <w:jc w:val="center"/>
              <w:rPr>
                <w:sz w:val="18"/>
                <w:szCs w:val="18"/>
              </w:rPr>
            </w:pPr>
            <w:r w:rsidRPr="00626518">
              <w:rPr>
                <w:sz w:val="18"/>
                <w:szCs w:val="18"/>
              </w:rPr>
              <w:t>98</w:t>
            </w:r>
            <w:r w:rsidR="0051318B" w:rsidRPr="00626518">
              <w:rPr>
                <w:sz w:val="18"/>
                <w:szCs w:val="18"/>
              </w:rPr>
              <w:t>,</w:t>
            </w:r>
            <w:r w:rsidRPr="00626518">
              <w:rPr>
                <w:sz w:val="18"/>
                <w:szCs w:val="18"/>
              </w:rPr>
              <w:t>2</w:t>
            </w:r>
          </w:p>
        </w:tc>
        <w:tc>
          <w:tcPr>
            <w:tcW w:w="1316" w:type="dxa"/>
            <w:tcBorders>
              <w:top w:val="single" w:sz="4" w:space="0" w:color="auto"/>
            </w:tcBorders>
          </w:tcPr>
          <w:p w14:paraId="5A692C87" w14:textId="77777777" w:rsidR="00C64460" w:rsidRPr="00626518" w:rsidRDefault="00C64460" w:rsidP="00626518">
            <w:pPr>
              <w:jc w:val="center"/>
              <w:rPr>
                <w:sz w:val="18"/>
                <w:szCs w:val="18"/>
              </w:rPr>
            </w:pPr>
            <w:r w:rsidRPr="00626518">
              <w:rPr>
                <w:sz w:val="18"/>
                <w:szCs w:val="18"/>
              </w:rPr>
              <w:t>98</w:t>
            </w:r>
            <w:r w:rsidR="0051318B" w:rsidRPr="00626518">
              <w:rPr>
                <w:sz w:val="18"/>
                <w:szCs w:val="18"/>
              </w:rPr>
              <w:t>,</w:t>
            </w:r>
            <w:r w:rsidRPr="00626518">
              <w:rPr>
                <w:sz w:val="18"/>
                <w:szCs w:val="18"/>
              </w:rPr>
              <w:t>9</w:t>
            </w:r>
          </w:p>
        </w:tc>
        <w:tc>
          <w:tcPr>
            <w:tcW w:w="1316" w:type="dxa"/>
            <w:tcBorders>
              <w:top w:val="single" w:sz="4" w:space="0" w:color="auto"/>
            </w:tcBorders>
          </w:tcPr>
          <w:p w14:paraId="0FDE281D" w14:textId="77777777" w:rsidR="00C64460" w:rsidRPr="00626518" w:rsidRDefault="00C64460" w:rsidP="00626518">
            <w:pPr>
              <w:jc w:val="center"/>
              <w:rPr>
                <w:sz w:val="18"/>
                <w:szCs w:val="18"/>
              </w:rPr>
            </w:pPr>
            <w:r w:rsidRPr="00626518">
              <w:rPr>
                <w:sz w:val="18"/>
                <w:szCs w:val="18"/>
              </w:rPr>
              <w:t>90</w:t>
            </w:r>
            <w:r w:rsidR="0051318B" w:rsidRPr="00626518">
              <w:rPr>
                <w:sz w:val="18"/>
                <w:szCs w:val="18"/>
              </w:rPr>
              <w:t>,</w:t>
            </w:r>
            <w:r w:rsidRPr="00626518">
              <w:rPr>
                <w:sz w:val="18"/>
                <w:szCs w:val="18"/>
              </w:rPr>
              <w:t>8</w:t>
            </w:r>
          </w:p>
        </w:tc>
        <w:tc>
          <w:tcPr>
            <w:tcW w:w="1316" w:type="dxa"/>
            <w:tcBorders>
              <w:top w:val="single" w:sz="4" w:space="0" w:color="auto"/>
            </w:tcBorders>
          </w:tcPr>
          <w:p w14:paraId="58B597AE" w14:textId="77777777" w:rsidR="00C64460" w:rsidRPr="00626518" w:rsidRDefault="00C64460" w:rsidP="00626518">
            <w:pPr>
              <w:jc w:val="center"/>
              <w:rPr>
                <w:sz w:val="18"/>
                <w:szCs w:val="18"/>
              </w:rPr>
            </w:pPr>
            <w:r w:rsidRPr="00626518">
              <w:rPr>
                <w:sz w:val="18"/>
                <w:szCs w:val="18"/>
              </w:rPr>
              <w:t>93</w:t>
            </w:r>
            <w:r w:rsidR="0051318B" w:rsidRPr="00626518">
              <w:rPr>
                <w:sz w:val="18"/>
                <w:szCs w:val="18"/>
              </w:rPr>
              <w:t>,</w:t>
            </w:r>
            <w:r w:rsidRPr="00626518">
              <w:rPr>
                <w:sz w:val="18"/>
                <w:szCs w:val="18"/>
              </w:rPr>
              <w:t>1</w:t>
            </w:r>
          </w:p>
        </w:tc>
        <w:tc>
          <w:tcPr>
            <w:tcW w:w="1316" w:type="dxa"/>
            <w:tcBorders>
              <w:top w:val="single" w:sz="4" w:space="0" w:color="auto"/>
            </w:tcBorders>
          </w:tcPr>
          <w:p w14:paraId="4988E26D" w14:textId="77777777" w:rsidR="00C64460" w:rsidRPr="00626518" w:rsidRDefault="00C64460" w:rsidP="00626518">
            <w:pPr>
              <w:jc w:val="center"/>
              <w:rPr>
                <w:sz w:val="18"/>
                <w:szCs w:val="18"/>
              </w:rPr>
            </w:pPr>
            <w:r w:rsidRPr="00626518">
              <w:rPr>
                <w:sz w:val="18"/>
                <w:szCs w:val="18"/>
              </w:rPr>
              <w:t>80</w:t>
            </w:r>
            <w:r w:rsidR="0051318B" w:rsidRPr="00626518">
              <w:rPr>
                <w:sz w:val="18"/>
                <w:szCs w:val="18"/>
              </w:rPr>
              <w:t>,</w:t>
            </w:r>
            <w:r w:rsidRPr="00626518">
              <w:rPr>
                <w:sz w:val="18"/>
                <w:szCs w:val="18"/>
              </w:rPr>
              <w:t>8</w:t>
            </w:r>
          </w:p>
        </w:tc>
        <w:tc>
          <w:tcPr>
            <w:tcW w:w="1316" w:type="dxa"/>
            <w:tcBorders>
              <w:top w:val="single" w:sz="4" w:space="0" w:color="auto"/>
            </w:tcBorders>
          </w:tcPr>
          <w:p w14:paraId="23633EE0" w14:textId="77777777" w:rsidR="00C64460" w:rsidRPr="00626518" w:rsidRDefault="00C64460" w:rsidP="00626518">
            <w:pPr>
              <w:jc w:val="center"/>
              <w:rPr>
                <w:sz w:val="18"/>
                <w:szCs w:val="18"/>
              </w:rPr>
            </w:pPr>
            <w:r w:rsidRPr="00626518">
              <w:rPr>
                <w:sz w:val="18"/>
                <w:szCs w:val="18"/>
              </w:rPr>
              <w:t>89</w:t>
            </w:r>
            <w:r w:rsidR="0051318B" w:rsidRPr="00626518">
              <w:rPr>
                <w:sz w:val="18"/>
                <w:szCs w:val="18"/>
              </w:rPr>
              <w:t>,</w:t>
            </w:r>
            <w:r w:rsidRPr="00626518">
              <w:rPr>
                <w:sz w:val="18"/>
                <w:szCs w:val="18"/>
              </w:rPr>
              <w:t>7</w:t>
            </w:r>
          </w:p>
        </w:tc>
      </w:tr>
      <w:tr w:rsidR="00C64460" w:rsidRPr="00626518" w14:paraId="54F41154" w14:textId="77777777" w:rsidTr="00626518">
        <w:trPr>
          <w:jc w:val="center"/>
        </w:trPr>
        <w:tc>
          <w:tcPr>
            <w:tcW w:w="1316" w:type="dxa"/>
          </w:tcPr>
          <w:p w14:paraId="29C8933B" w14:textId="77777777" w:rsidR="00C64460" w:rsidRPr="00626518" w:rsidRDefault="00C64460" w:rsidP="00626518">
            <w:pPr>
              <w:jc w:val="center"/>
              <w:rPr>
                <w:b/>
                <w:sz w:val="18"/>
                <w:szCs w:val="18"/>
              </w:rPr>
            </w:pPr>
            <w:r w:rsidRPr="00626518">
              <w:rPr>
                <w:sz w:val="18"/>
                <w:szCs w:val="18"/>
              </w:rPr>
              <w:t>1-2 Dagen</w:t>
            </w:r>
          </w:p>
        </w:tc>
        <w:tc>
          <w:tcPr>
            <w:tcW w:w="1316" w:type="dxa"/>
          </w:tcPr>
          <w:p w14:paraId="0EC4FE33" w14:textId="77777777" w:rsidR="00C64460" w:rsidRPr="00626518" w:rsidRDefault="00C64460" w:rsidP="00626518">
            <w:pPr>
              <w:jc w:val="center"/>
              <w:rPr>
                <w:sz w:val="18"/>
                <w:szCs w:val="18"/>
              </w:rPr>
            </w:pPr>
            <w:r w:rsidRPr="00626518">
              <w:rPr>
                <w:sz w:val="18"/>
                <w:szCs w:val="18"/>
              </w:rPr>
              <w:t>1</w:t>
            </w:r>
            <w:r w:rsidR="0051318B" w:rsidRPr="00626518">
              <w:rPr>
                <w:sz w:val="18"/>
                <w:szCs w:val="18"/>
              </w:rPr>
              <w:t>,</w:t>
            </w:r>
            <w:r w:rsidRPr="00626518">
              <w:rPr>
                <w:sz w:val="18"/>
                <w:szCs w:val="18"/>
              </w:rPr>
              <w:t>1</w:t>
            </w:r>
          </w:p>
        </w:tc>
        <w:tc>
          <w:tcPr>
            <w:tcW w:w="1316" w:type="dxa"/>
          </w:tcPr>
          <w:p w14:paraId="3658B41C"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9</w:t>
            </w:r>
          </w:p>
        </w:tc>
        <w:tc>
          <w:tcPr>
            <w:tcW w:w="1316" w:type="dxa"/>
          </w:tcPr>
          <w:p w14:paraId="040257E3" w14:textId="77777777" w:rsidR="00C64460" w:rsidRPr="00626518" w:rsidRDefault="00C64460" w:rsidP="00626518">
            <w:pPr>
              <w:jc w:val="center"/>
              <w:rPr>
                <w:sz w:val="18"/>
                <w:szCs w:val="18"/>
              </w:rPr>
            </w:pPr>
            <w:r w:rsidRPr="00626518">
              <w:rPr>
                <w:sz w:val="18"/>
                <w:szCs w:val="18"/>
              </w:rPr>
              <w:t>4</w:t>
            </w:r>
            <w:r w:rsidR="0051318B" w:rsidRPr="00626518">
              <w:rPr>
                <w:sz w:val="18"/>
                <w:szCs w:val="18"/>
              </w:rPr>
              <w:t>,</w:t>
            </w:r>
            <w:r w:rsidRPr="00626518">
              <w:rPr>
                <w:sz w:val="18"/>
                <w:szCs w:val="18"/>
              </w:rPr>
              <w:t>6</w:t>
            </w:r>
          </w:p>
        </w:tc>
        <w:tc>
          <w:tcPr>
            <w:tcW w:w="1316" w:type="dxa"/>
          </w:tcPr>
          <w:p w14:paraId="68F25E67" w14:textId="77777777" w:rsidR="00C64460" w:rsidRPr="00626518" w:rsidRDefault="00C64460" w:rsidP="00626518">
            <w:pPr>
              <w:jc w:val="center"/>
              <w:rPr>
                <w:sz w:val="18"/>
                <w:szCs w:val="18"/>
              </w:rPr>
            </w:pPr>
            <w:r w:rsidRPr="00626518">
              <w:rPr>
                <w:sz w:val="18"/>
                <w:szCs w:val="18"/>
              </w:rPr>
              <w:t>3</w:t>
            </w:r>
            <w:r w:rsidR="0051318B" w:rsidRPr="00626518">
              <w:rPr>
                <w:sz w:val="18"/>
                <w:szCs w:val="18"/>
              </w:rPr>
              <w:t>,</w:t>
            </w:r>
            <w:r w:rsidRPr="00626518">
              <w:rPr>
                <w:sz w:val="18"/>
                <w:szCs w:val="18"/>
              </w:rPr>
              <w:t>4</w:t>
            </w:r>
          </w:p>
        </w:tc>
        <w:tc>
          <w:tcPr>
            <w:tcW w:w="1316" w:type="dxa"/>
          </w:tcPr>
          <w:p w14:paraId="351C8570" w14:textId="77777777" w:rsidR="00C64460" w:rsidRPr="00626518" w:rsidRDefault="00C64460" w:rsidP="00626518">
            <w:pPr>
              <w:jc w:val="center"/>
              <w:rPr>
                <w:sz w:val="18"/>
                <w:szCs w:val="18"/>
              </w:rPr>
            </w:pPr>
            <w:r w:rsidRPr="00626518">
              <w:rPr>
                <w:sz w:val="18"/>
                <w:szCs w:val="18"/>
              </w:rPr>
              <w:t>6</w:t>
            </w:r>
            <w:r w:rsidR="0051318B" w:rsidRPr="00626518">
              <w:rPr>
                <w:sz w:val="18"/>
                <w:szCs w:val="18"/>
              </w:rPr>
              <w:t>,</w:t>
            </w:r>
            <w:r w:rsidRPr="00626518">
              <w:rPr>
                <w:sz w:val="18"/>
                <w:szCs w:val="18"/>
              </w:rPr>
              <w:t>7</w:t>
            </w:r>
          </w:p>
        </w:tc>
        <w:tc>
          <w:tcPr>
            <w:tcW w:w="1316" w:type="dxa"/>
          </w:tcPr>
          <w:p w14:paraId="2237E25F" w14:textId="77777777" w:rsidR="00C64460" w:rsidRPr="00626518" w:rsidRDefault="00C64460" w:rsidP="00626518">
            <w:pPr>
              <w:jc w:val="center"/>
              <w:rPr>
                <w:sz w:val="18"/>
                <w:szCs w:val="18"/>
              </w:rPr>
            </w:pPr>
            <w:r w:rsidRPr="00626518">
              <w:rPr>
                <w:sz w:val="18"/>
                <w:szCs w:val="18"/>
              </w:rPr>
              <w:t>5</w:t>
            </w:r>
            <w:r w:rsidR="0051318B" w:rsidRPr="00626518">
              <w:rPr>
                <w:sz w:val="18"/>
                <w:szCs w:val="18"/>
              </w:rPr>
              <w:t>,</w:t>
            </w:r>
            <w:r w:rsidRPr="00626518">
              <w:rPr>
                <w:sz w:val="18"/>
                <w:szCs w:val="18"/>
              </w:rPr>
              <w:t>8</w:t>
            </w:r>
          </w:p>
        </w:tc>
      </w:tr>
      <w:tr w:rsidR="00C64460" w:rsidRPr="00626518" w14:paraId="52B44ABF" w14:textId="77777777" w:rsidTr="00626518">
        <w:trPr>
          <w:jc w:val="center"/>
        </w:trPr>
        <w:tc>
          <w:tcPr>
            <w:tcW w:w="1316" w:type="dxa"/>
          </w:tcPr>
          <w:p w14:paraId="3249B3E9" w14:textId="77777777" w:rsidR="00C64460" w:rsidRPr="00626518" w:rsidRDefault="00C64460" w:rsidP="00626518">
            <w:pPr>
              <w:jc w:val="center"/>
              <w:rPr>
                <w:b/>
                <w:sz w:val="18"/>
                <w:szCs w:val="18"/>
              </w:rPr>
            </w:pPr>
            <w:r w:rsidRPr="00626518">
              <w:rPr>
                <w:sz w:val="18"/>
                <w:szCs w:val="18"/>
              </w:rPr>
              <w:t>3-5 dagen</w:t>
            </w:r>
          </w:p>
        </w:tc>
        <w:tc>
          <w:tcPr>
            <w:tcW w:w="1316" w:type="dxa"/>
          </w:tcPr>
          <w:p w14:paraId="5087B6CD"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3</w:t>
            </w:r>
          </w:p>
        </w:tc>
        <w:tc>
          <w:tcPr>
            <w:tcW w:w="1316" w:type="dxa"/>
          </w:tcPr>
          <w:p w14:paraId="017CC96B"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1</w:t>
            </w:r>
          </w:p>
        </w:tc>
        <w:tc>
          <w:tcPr>
            <w:tcW w:w="1316" w:type="dxa"/>
          </w:tcPr>
          <w:p w14:paraId="2B47B369" w14:textId="77777777" w:rsidR="00C64460" w:rsidRPr="00626518" w:rsidRDefault="00C64460" w:rsidP="00626518">
            <w:pPr>
              <w:jc w:val="center"/>
              <w:rPr>
                <w:sz w:val="18"/>
                <w:szCs w:val="18"/>
              </w:rPr>
            </w:pPr>
            <w:r w:rsidRPr="00626518">
              <w:rPr>
                <w:sz w:val="18"/>
                <w:szCs w:val="18"/>
              </w:rPr>
              <w:t>1</w:t>
            </w:r>
            <w:r w:rsidR="0051318B" w:rsidRPr="00626518">
              <w:rPr>
                <w:sz w:val="18"/>
                <w:szCs w:val="18"/>
              </w:rPr>
              <w:t>,</w:t>
            </w:r>
            <w:r w:rsidRPr="00626518">
              <w:rPr>
                <w:sz w:val="18"/>
                <w:szCs w:val="18"/>
              </w:rPr>
              <w:t>7</w:t>
            </w:r>
          </w:p>
        </w:tc>
        <w:tc>
          <w:tcPr>
            <w:tcW w:w="1316" w:type="dxa"/>
          </w:tcPr>
          <w:p w14:paraId="78BA9D0E"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8</w:t>
            </w:r>
          </w:p>
        </w:tc>
        <w:tc>
          <w:tcPr>
            <w:tcW w:w="1316" w:type="dxa"/>
          </w:tcPr>
          <w:p w14:paraId="2A282C98" w14:textId="77777777" w:rsidR="00C64460" w:rsidRPr="00626518" w:rsidRDefault="00C64460" w:rsidP="00626518">
            <w:pPr>
              <w:jc w:val="center"/>
              <w:rPr>
                <w:sz w:val="18"/>
                <w:szCs w:val="18"/>
              </w:rPr>
            </w:pPr>
            <w:r w:rsidRPr="00626518">
              <w:rPr>
                <w:sz w:val="18"/>
                <w:szCs w:val="18"/>
              </w:rPr>
              <w:t>4</w:t>
            </w:r>
            <w:r w:rsidR="0051318B" w:rsidRPr="00626518">
              <w:rPr>
                <w:sz w:val="18"/>
                <w:szCs w:val="18"/>
              </w:rPr>
              <w:t>,</w:t>
            </w:r>
            <w:r w:rsidRPr="00626518">
              <w:rPr>
                <w:sz w:val="18"/>
                <w:szCs w:val="18"/>
              </w:rPr>
              <w:t>2</w:t>
            </w:r>
          </w:p>
        </w:tc>
        <w:tc>
          <w:tcPr>
            <w:tcW w:w="1316" w:type="dxa"/>
          </w:tcPr>
          <w:p w14:paraId="624380E2" w14:textId="77777777" w:rsidR="00C64460" w:rsidRPr="00626518" w:rsidRDefault="00C64460" w:rsidP="00626518">
            <w:pPr>
              <w:jc w:val="center"/>
              <w:rPr>
                <w:sz w:val="18"/>
                <w:szCs w:val="18"/>
              </w:rPr>
            </w:pPr>
            <w:r w:rsidRPr="00626518">
              <w:rPr>
                <w:sz w:val="18"/>
                <w:szCs w:val="18"/>
              </w:rPr>
              <w:t>1</w:t>
            </w:r>
            <w:r w:rsidR="0051318B" w:rsidRPr="00626518">
              <w:rPr>
                <w:sz w:val="18"/>
                <w:szCs w:val="18"/>
              </w:rPr>
              <w:t>,</w:t>
            </w:r>
            <w:r w:rsidRPr="00626518">
              <w:rPr>
                <w:sz w:val="18"/>
                <w:szCs w:val="18"/>
              </w:rPr>
              <w:t>1</w:t>
            </w:r>
          </w:p>
        </w:tc>
      </w:tr>
      <w:tr w:rsidR="00C64460" w:rsidRPr="00626518" w14:paraId="05739A53" w14:textId="77777777" w:rsidTr="00626518">
        <w:trPr>
          <w:jc w:val="center"/>
        </w:trPr>
        <w:tc>
          <w:tcPr>
            <w:tcW w:w="1316" w:type="dxa"/>
          </w:tcPr>
          <w:p w14:paraId="69A469C2" w14:textId="77777777" w:rsidR="00C64460" w:rsidRPr="00626518" w:rsidRDefault="00C64460" w:rsidP="00626518">
            <w:pPr>
              <w:jc w:val="center"/>
              <w:rPr>
                <w:b/>
                <w:sz w:val="18"/>
                <w:szCs w:val="18"/>
              </w:rPr>
            </w:pPr>
            <w:r w:rsidRPr="00626518">
              <w:rPr>
                <w:sz w:val="18"/>
                <w:szCs w:val="18"/>
              </w:rPr>
              <w:t>6-9 dagen</w:t>
            </w:r>
          </w:p>
        </w:tc>
        <w:tc>
          <w:tcPr>
            <w:tcW w:w="1316" w:type="dxa"/>
          </w:tcPr>
          <w:p w14:paraId="637A38A7"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1</w:t>
            </w:r>
          </w:p>
        </w:tc>
        <w:tc>
          <w:tcPr>
            <w:tcW w:w="1316" w:type="dxa"/>
          </w:tcPr>
          <w:p w14:paraId="62DC3E33"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1</w:t>
            </w:r>
          </w:p>
        </w:tc>
        <w:tc>
          <w:tcPr>
            <w:tcW w:w="1316" w:type="dxa"/>
          </w:tcPr>
          <w:p w14:paraId="364B1B12"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8</w:t>
            </w:r>
          </w:p>
        </w:tc>
        <w:tc>
          <w:tcPr>
            <w:tcW w:w="1316" w:type="dxa"/>
          </w:tcPr>
          <w:p w14:paraId="7A5A54A2"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7</w:t>
            </w:r>
          </w:p>
        </w:tc>
        <w:tc>
          <w:tcPr>
            <w:tcW w:w="1316" w:type="dxa"/>
          </w:tcPr>
          <w:p w14:paraId="766DB58C" w14:textId="77777777" w:rsidR="00C64460" w:rsidRPr="00626518" w:rsidRDefault="00C64460" w:rsidP="00626518">
            <w:pPr>
              <w:jc w:val="center"/>
              <w:rPr>
                <w:sz w:val="18"/>
                <w:szCs w:val="18"/>
              </w:rPr>
            </w:pPr>
            <w:r w:rsidRPr="00626518">
              <w:rPr>
                <w:sz w:val="18"/>
                <w:szCs w:val="18"/>
              </w:rPr>
              <w:t>2</w:t>
            </w:r>
            <w:r w:rsidR="0051318B" w:rsidRPr="00626518">
              <w:rPr>
                <w:sz w:val="18"/>
                <w:szCs w:val="18"/>
              </w:rPr>
              <w:t>,</w:t>
            </w:r>
            <w:r w:rsidRPr="00626518">
              <w:rPr>
                <w:sz w:val="18"/>
                <w:szCs w:val="18"/>
              </w:rPr>
              <w:t>5</w:t>
            </w:r>
          </w:p>
        </w:tc>
        <w:tc>
          <w:tcPr>
            <w:tcW w:w="1316" w:type="dxa"/>
          </w:tcPr>
          <w:p w14:paraId="69DAAEDF"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9</w:t>
            </w:r>
          </w:p>
        </w:tc>
      </w:tr>
      <w:tr w:rsidR="00C64460" w:rsidRPr="00626518" w14:paraId="5F85FA9D" w14:textId="77777777" w:rsidTr="00626518">
        <w:trPr>
          <w:jc w:val="center"/>
        </w:trPr>
        <w:tc>
          <w:tcPr>
            <w:tcW w:w="1316" w:type="dxa"/>
          </w:tcPr>
          <w:p w14:paraId="3EF4188D" w14:textId="77777777" w:rsidR="00C64460" w:rsidRPr="00626518" w:rsidRDefault="00C64460" w:rsidP="00626518">
            <w:pPr>
              <w:jc w:val="center"/>
              <w:rPr>
                <w:b/>
                <w:sz w:val="18"/>
                <w:szCs w:val="18"/>
              </w:rPr>
            </w:pPr>
            <w:r w:rsidRPr="00626518">
              <w:rPr>
                <w:sz w:val="18"/>
                <w:szCs w:val="18"/>
              </w:rPr>
              <w:t>10-19 dagen</w:t>
            </w:r>
          </w:p>
        </w:tc>
        <w:tc>
          <w:tcPr>
            <w:tcW w:w="1316" w:type="dxa"/>
          </w:tcPr>
          <w:p w14:paraId="355EAE1E"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1</w:t>
            </w:r>
          </w:p>
        </w:tc>
        <w:tc>
          <w:tcPr>
            <w:tcW w:w="1316" w:type="dxa"/>
          </w:tcPr>
          <w:p w14:paraId="0C4A8706"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0</w:t>
            </w:r>
          </w:p>
        </w:tc>
        <w:tc>
          <w:tcPr>
            <w:tcW w:w="1316" w:type="dxa"/>
          </w:tcPr>
          <w:p w14:paraId="222AA7A8"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8</w:t>
            </w:r>
          </w:p>
        </w:tc>
        <w:tc>
          <w:tcPr>
            <w:tcW w:w="1316" w:type="dxa"/>
          </w:tcPr>
          <w:p w14:paraId="596E8D87" w14:textId="77777777" w:rsidR="00C64460" w:rsidRPr="00626518" w:rsidRDefault="00C64460" w:rsidP="00626518">
            <w:pPr>
              <w:jc w:val="center"/>
              <w:rPr>
                <w:sz w:val="18"/>
                <w:szCs w:val="18"/>
              </w:rPr>
            </w:pPr>
            <w:r w:rsidRPr="00626518">
              <w:rPr>
                <w:sz w:val="18"/>
                <w:szCs w:val="18"/>
              </w:rPr>
              <w:t>1</w:t>
            </w:r>
            <w:r w:rsidR="0051318B" w:rsidRPr="00626518">
              <w:rPr>
                <w:sz w:val="18"/>
                <w:szCs w:val="18"/>
              </w:rPr>
              <w:t>,</w:t>
            </w:r>
            <w:r w:rsidRPr="00626518">
              <w:rPr>
                <w:sz w:val="18"/>
                <w:szCs w:val="18"/>
              </w:rPr>
              <w:t>1</w:t>
            </w:r>
          </w:p>
        </w:tc>
        <w:tc>
          <w:tcPr>
            <w:tcW w:w="1316" w:type="dxa"/>
          </w:tcPr>
          <w:p w14:paraId="01386869" w14:textId="77777777" w:rsidR="00C64460" w:rsidRPr="00626518" w:rsidRDefault="00C64460" w:rsidP="00626518">
            <w:pPr>
              <w:jc w:val="center"/>
              <w:rPr>
                <w:sz w:val="18"/>
                <w:szCs w:val="18"/>
              </w:rPr>
            </w:pPr>
            <w:r w:rsidRPr="00626518">
              <w:rPr>
                <w:sz w:val="18"/>
                <w:szCs w:val="18"/>
              </w:rPr>
              <w:t>2</w:t>
            </w:r>
            <w:r w:rsidR="0051318B" w:rsidRPr="00626518">
              <w:rPr>
                <w:sz w:val="18"/>
                <w:szCs w:val="18"/>
              </w:rPr>
              <w:t>,</w:t>
            </w:r>
            <w:r w:rsidRPr="00626518">
              <w:rPr>
                <w:sz w:val="18"/>
                <w:szCs w:val="18"/>
              </w:rPr>
              <w:t>0</w:t>
            </w:r>
          </w:p>
        </w:tc>
        <w:tc>
          <w:tcPr>
            <w:tcW w:w="1316" w:type="dxa"/>
          </w:tcPr>
          <w:p w14:paraId="6C0A3AFD"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7</w:t>
            </w:r>
          </w:p>
        </w:tc>
      </w:tr>
      <w:tr w:rsidR="00C64460" w:rsidRPr="00626518" w14:paraId="425789CA" w14:textId="77777777" w:rsidTr="00626518">
        <w:trPr>
          <w:jc w:val="center"/>
        </w:trPr>
        <w:tc>
          <w:tcPr>
            <w:tcW w:w="1316" w:type="dxa"/>
          </w:tcPr>
          <w:p w14:paraId="31EC4469" w14:textId="77777777" w:rsidR="00C64460" w:rsidRPr="00626518" w:rsidRDefault="00C64460" w:rsidP="00626518">
            <w:pPr>
              <w:jc w:val="center"/>
              <w:rPr>
                <w:b/>
                <w:sz w:val="18"/>
                <w:szCs w:val="18"/>
              </w:rPr>
            </w:pPr>
            <w:r w:rsidRPr="00626518">
              <w:rPr>
                <w:sz w:val="18"/>
                <w:szCs w:val="18"/>
              </w:rPr>
              <w:t>20-29 dagen</w:t>
            </w:r>
          </w:p>
        </w:tc>
        <w:tc>
          <w:tcPr>
            <w:tcW w:w="1316" w:type="dxa"/>
          </w:tcPr>
          <w:p w14:paraId="50092EC9"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0</w:t>
            </w:r>
          </w:p>
        </w:tc>
        <w:tc>
          <w:tcPr>
            <w:tcW w:w="1316" w:type="dxa"/>
          </w:tcPr>
          <w:p w14:paraId="0B54A92B"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0</w:t>
            </w:r>
          </w:p>
        </w:tc>
        <w:tc>
          <w:tcPr>
            <w:tcW w:w="1316" w:type="dxa"/>
          </w:tcPr>
          <w:p w14:paraId="49EA896C"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7</w:t>
            </w:r>
          </w:p>
        </w:tc>
        <w:tc>
          <w:tcPr>
            <w:tcW w:w="1316" w:type="dxa"/>
          </w:tcPr>
          <w:p w14:paraId="45A6D3EB"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5</w:t>
            </w:r>
          </w:p>
        </w:tc>
        <w:tc>
          <w:tcPr>
            <w:tcW w:w="1316" w:type="dxa"/>
          </w:tcPr>
          <w:p w14:paraId="2C1CB67D"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9</w:t>
            </w:r>
          </w:p>
        </w:tc>
        <w:tc>
          <w:tcPr>
            <w:tcW w:w="1316" w:type="dxa"/>
          </w:tcPr>
          <w:p w14:paraId="6491A443"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8</w:t>
            </w:r>
          </w:p>
        </w:tc>
      </w:tr>
      <w:tr w:rsidR="00C64460" w:rsidRPr="00626518" w14:paraId="19FF85BD" w14:textId="77777777" w:rsidTr="00626518">
        <w:trPr>
          <w:jc w:val="center"/>
        </w:trPr>
        <w:tc>
          <w:tcPr>
            <w:tcW w:w="1316" w:type="dxa"/>
          </w:tcPr>
          <w:p w14:paraId="334DCFFE" w14:textId="77777777" w:rsidR="00C64460" w:rsidRPr="00626518" w:rsidRDefault="00C64460" w:rsidP="00626518">
            <w:pPr>
              <w:jc w:val="center"/>
              <w:rPr>
                <w:b/>
                <w:sz w:val="18"/>
                <w:szCs w:val="18"/>
              </w:rPr>
            </w:pPr>
            <w:r w:rsidRPr="00626518">
              <w:rPr>
                <w:sz w:val="18"/>
                <w:szCs w:val="18"/>
              </w:rPr>
              <w:t>30 dagen of meer</w:t>
            </w:r>
          </w:p>
        </w:tc>
        <w:tc>
          <w:tcPr>
            <w:tcW w:w="1316" w:type="dxa"/>
          </w:tcPr>
          <w:p w14:paraId="4B31134C"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2</w:t>
            </w:r>
          </w:p>
        </w:tc>
        <w:tc>
          <w:tcPr>
            <w:tcW w:w="1316" w:type="dxa"/>
          </w:tcPr>
          <w:p w14:paraId="34BE2426"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0</w:t>
            </w:r>
          </w:p>
        </w:tc>
        <w:tc>
          <w:tcPr>
            <w:tcW w:w="1316" w:type="dxa"/>
          </w:tcPr>
          <w:p w14:paraId="7D7DA1F7"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6</w:t>
            </w:r>
          </w:p>
        </w:tc>
        <w:tc>
          <w:tcPr>
            <w:tcW w:w="1316" w:type="dxa"/>
          </w:tcPr>
          <w:p w14:paraId="57BB6A9A" w14:textId="77777777" w:rsidR="00C64460" w:rsidRPr="00626518" w:rsidRDefault="00C64460" w:rsidP="00626518">
            <w:pPr>
              <w:jc w:val="center"/>
              <w:rPr>
                <w:sz w:val="18"/>
                <w:szCs w:val="18"/>
              </w:rPr>
            </w:pPr>
            <w:r w:rsidRPr="00626518">
              <w:rPr>
                <w:sz w:val="18"/>
                <w:szCs w:val="18"/>
              </w:rPr>
              <w:t>0</w:t>
            </w:r>
            <w:r w:rsidR="0051318B" w:rsidRPr="00626518">
              <w:rPr>
                <w:sz w:val="18"/>
                <w:szCs w:val="18"/>
              </w:rPr>
              <w:t>,</w:t>
            </w:r>
            <w:r w:rsidRPr="00626518">
              <w:rPr>
                <w:sz w:val="18"/>
                <w:szCs w:val="18"/>
              </w:rPr>
              <w:t>4</w:t>
            </w:r>
          </w:p>
        </w:tc>
        <w:tc>
          <w:tcPr>
            <w:tcW w:w="1316" w:type="dxa"/>
          </w:tcPr>
          <w:p w14:paraId="4BF5891C" w14:textId="77777777" w:rsidR="00C64460" w:rsidRPr="00626518" w:rsidRDefault="00C64460" w:rsidP="00626518">
            <w:pPr>
              <w:jc w:val="center"/>
              <w:rPr>
                <w:sz w:val="18"/>
                <w:szCs w:val="18"/>
              </w:rPr>
            </w:pPr>
            <w:r w:rsidRPr="00626518">
              <w:rPr>
                <w:sz w:val="18"/>
                <w:szCs w:val="18"/>
              </w:rPr>
              <w:t>3</w:t>
            </w:r>
            <w:r w:rsidR="0051318B" w:rsidRPr="00626518">
              <w:rPr>
                <w:sz w:val="18"/>
                <w:szCs w:val="18"/>
              </w:rPr>
              <w:t>,</w:t>
            </w:r>
            <w:r w:rsidRPr="00626518">
              <w:rPr>
                <w:sz w:val="18"/>
                <w:szCs w:val="18"/>
              </w:rPr>
              <w:t>0</w:t>
            </w:r>
          </w:p>
        </w:tc>
        <w:tc>
          <w:tcPr>
            <w:tcW w:w="1316" w:type="dxa"/>
          </w:tcPr>
          <w:p w14:paraId="2599D7FB" w14:textId="77777777" w:rsidR="00C64460" w:rsidRPr="00626518" w:rsidRDefault="00C64460" w:rsidP="00626518">
            <w:pPr>
              <w:jc w:val="center"/>
              <w:rPr>
                <w:sz w:val="18"/>
                <w:szCs w:val="18"/>
              </w:rPr>
            </w:pPr>
            <w:r w:rsidRPr="00626518">
              <w:rPr>
                <w:sz w:val="18"/>
                <w:szCs w:val="18"/>
              </w:rPr>
              <w:t>1</w:t>
            </w:r>
            <w:r w:rsidR="0051318B" w:rsidRPr="00626518">
              <w:rPr>
                <w:sz w:val="18"/>
                <w:szCs w:val="18"/>
              </w:rPr>
              <w:t>,</w:t>
            </w:r>
            <w:r w:rsidRPr="00626518">
              <w:rPr>
                <w:sz w:val="18"/>
                <w:szCs w:val="18"/>
              </w:rPr>
              <w:t>1</w:t>
            </w:r>
          </w:p>
        </w:tc>
      </w:tr>
    </w:tbl>
    <w:p w14:paraId="7ABA570F" w14:textId="77777777" w:rsidR="000B415F" w:rsidRDefault="000B415F" w:rsidP="00395444"/>
    <w:p w14:paraId="59AACB84" w14:textId="77777777" w:rsidR="00237B54" w:rsidRDefault="00237B54" w:rsidP="00395444"/>
    <w:p w14:paraId="084E648B" w14:textId="7AE96106" w:rsidR="002C1BA5" w:rsidRDefault="000B415F" w:rsidP="00395444">
      <w:r>
        <w:t xml:space="preserve">Ook naar opleiding is er een significant verschil in het gebruik van cannabis in de laatste 30 dagen. </w:t>
      </w:r>
      <w:r w:rsidR="002C1BA5">
        <w:t xml:space="preserve">Meer jongeren uit het beroepsonderwijs consumeren cannabis, vergeleken met de andere onderwijstypes; de prevalentie van cannabisgebruik ligt het laagst bij jongeren uit het algemeen secundair onderwijs </w:t>
      </w:r>
      <w:r w:rsidR="0051318B">
        <w:t>(jongens: chi²</w:t>
      </w:r>
      <w:r w:rsidR="00C62D6A">
        <w:t> </w:t>
      </w:r>
      <w:r w:rsidR="0051318B">
        <w:t>=</w:t>
      </w:r>
      <w:r w:rsidR="00C62D6A">
        <w:t> </w:t>
      </w:r>
      <w:r w:rsidR="0051318B">
        <w:t>55,</w:t>
      </w:r>
      <w:r>
        <w:t xml:space="preserve">3; </w:t>
      </w:r>
      <w:proofErr w:type="spellStart"/>
      <w:r>
        <w:t>df</w:t>
      </w:r>
      <w:proofErr w:type="spellEnd"/>
      <w:r w:rsidR="00C62D6A">
        <w:t> </w:t>
      </w:r>
      <w:r>
        <w:t>=</w:t>
      </w:r>
      <w:r w:rsidR="00C62D6A">
        <w:t> </w:t>
      </w:r>
      <w:r>
        <w:t>12; p</w:t>
      </w:r>
      <w:r w:rsidR="00C62D6A">
        <w:t> </w:t>
      </w:r>
      <w:r>
        <w:t>&lt;</w:t>
      </w:r>
      <w:r w:rsidR="00C62D6A">
        <w:t> </w:t>
      </w:r>
      <w:r>
        <w:t>0</w:t>
      </w:r>
      <w:r w:rsidR="0051318B">
        <w:t>,</w:t>
      </w:r>
      <w:r>
        <w:t>001, meisjes: chi²</w:t>
      </w:r>
      <w:r w:rsidR="00C62D6A">
        <w:t> </w:t>
      </w:r>
      <w:r>
        <w:t>=</w:t>
      </w:r>
      <w:r w:rsidR="00C62D6A">
        <w:t> </w:t>
      </w:r>
      <w:r>
        <w:t>80</w:t>
      </w:r>
      <w:r w:rsidR="0051318B">
        <w:t xml:space="preserve">,1; </w:t>
      </w:r>
      <w:proofErr w:type="spellStart"/>
      <w:r w:rsidR="0051318B">
        <w:t>df</w:t>
      </w:r>
      <w:proofErr w:type="spellEnd"/>
      <w:r w:rsidR="00C62D6A">
        <w:t> </w:t>
      </w:r>
      <w:r w:rsidR="0051318B">
        <w:t>=</w:t>
      </w:r>
      <w:r w:rsidR="00C62D6A">
        <w:t> </w:t>
      </w:r>
      <w:r w:rsidR="0051318B">
        <w:t>12; p</w:t>
      </w:r>
      <w:r w:rsidR="00C62D6A">
        <w:t> </w:t>
      </w:r>
      <w:r w:rsidR="0051318B">
        <w:t>&lt;</w:t>
      </w:r>
      <w:r w:rsidR="00C62D6A">
        <w:t> </w:t>
      </w:r>
      <w:r w:rsidR="0051318B">
        <w:t>0,</w:t>
      </w:r>
      <w:r>
        <w:t xml:space="preserve">001). Dit wordt weergegeven in </w:t>
      </w:r>
      <w:r w:rsidR="002C1BA5">
        <w:t>tabel</w:t>
      </w:r>
      <w:r>
        <w:t xml:space="preserve"> </w:t>
      </w:r>
      <w:r w:rsidR="002C1BA5">
        <w:t>2</w:t>
      </w:r>
      <w:r>
        <w:t>.</w:t>
      </w:r>
    </w:p>
    <w:p w14:paraId="2B8C61B4" w14:textId="77777777" w:rsidR="002C1BA5" w:rsidRDefault="002C1BA5" w:rsidP="00395444"/>
    <w:p w14:paraId="438D1207" w14:textId="77777777" w:rsidR="002C1BA5" w:rsidRPr="0051318B" w:rsidRDefault="002C1BA5" w:rsidP="00626518">
      <w:pPr>
        <w:pStyle w:val="Caption"/>
        <w:rPr>
          <w:i/>
        </w:rPr>
      </w:pPr>
      <w:r w:rsidRPr="0051318B">
        <w:t xml:space="preserve">Tabel </w:t>
      </w:r>
      <w:fldSimple w:instr=" SEQ Tabel \* ARABIC ">
        <w:r w:rsidR="00BE1605">
          <w:rPr>
            <w:noProof/>
          </w:rPr>
          <w:t>2</w:t>
        </w:r>
      </w:fldSimple>
      <w:r w:rsidRPr="0051318B">
        <w:t xml:space="preserve"> </w:t>
      </w:r>
      <w:r w:rsidR="00F57F2A">
        <w:t>Percentage c</w:t>
      </w:r>
      <w:r w:rsidRPr="0051318B">
        <w:t>onsumptie cannabis in laatste 30 dagen naar opleiding en geslacht</w:t>
      </w:r>
    </w:p>
    <w:tbl>
      <w:tblPr>
        <w:tblStyle w:val="TableGridLight"/>
        <w:tblW w:w="0" w:type="auto"/>
        <w:tblLook w:val="04A0" w:firstRow="1" w:lastRow="0" w:firstColumn="1" w:lastColumn="0" w:noHBand="0" w:noVBand="1"/>
      </w:tblPr>
      <w:tblGrid>
        <w:gridCol w:w="1277"/>
        <w:gridCol w:w="1301"/>
        <w:gridCol w:w="1294"/>
        <w:gridCol w:w="1301"/>
        <w:gridCol w:w="1294"/>
        <w:gridCol w:w="1301"/>
        <w:gridCol w:w="1294"/>
      </w:tblGrid>
      <w:tr w:rsidR="002C1BA5" w:rsidRPr="00626518" w14:paraId="4B8F9561" w14:textId="77777777" w:rsidTr="00F57F2A">
        <w:tc>
          <w:tcPr>
            <w:tcW w:w="1316" w:type="dxa"/>
          </w:tcPr>
          <w:p w14:paraId="15F97601" w14:textId="77777777" w:rsidR="002C1BA5" w:rsidRPr="00626518" w:rsidRDefault="002C1BA5" w:rsidP="00626518">
            <w:pPr>
              <w:jc w:val="center"/>
              <w:rPr>
                <w:b/>
                <w:sz w:val="20"/>
              </w:rPr>
            </w:pPr>
          </w:p>
        </w:tc>
        <w:tc>
          <w:tcPr>
            <w:tcW w:w="2632" w:type="dxa"/>
            <w:gridSpan w:val="2"/>
          </w:tcPr>
          <w:p w14:paraId="1E30C794" w14:textId="77777777" w:rsidR="002C1BA5" w:rsidRPr="00626518" w:rsidRDefault="002C1BA5" w:rsidP="00626518">
            <w:pPr>
              <w:jc w:val="center"/>
              <w:rPr>
                <w:b/>
                <w:sz w:val="20"/>
              </w:rPr>
            </w:pPr>
            <w:r w:rsidRPr="00626518">
              <w:rPr>
                <w:b/>
                <w:sz w:val="20"/>
              </w:rPr>
              <w:t>ASO</w:t>
            </w:r>
          </w:p>
        </w:tc>
        <w:tc>
          <w:tcPr>
            <w:tcW w:w="2632" w:type="dxa"/>
            <w:gridSpan w:val="2"/>
          </w:tcPr>
          <w:p w14:paraId="5065299E" w14:textId="77777777" w:rsidR="002C1BA5" w:rsidRPr="00626518" w:rsidRDefault="002C1BA5" w:rsidP="00626518">
            <w:pPr>
              <w:jc w:val="center"/>
              <w:rPr>
                <w:b/>
                <w:sz w:val="20"/>
              </w:rPr>
            </w:pPr>
            <w:r w:rsidRPr="00626518">
              <w:rPr>
                <w:b/>
                <w:sz w:val="20"/>
              </w:rPr>
              <w:t>TSO</w:t>
            </w:r>
          </w:p>
        </w:tc>
        <w:tc>
          <w:tcPr>
            <w:tcW w:w="2632" w:type="dxa"/>
            <w:gridSpan w:val="2"/>
          </w:tcPr>
          <w:p w14:paraId="53FA7CB9" w14:textId="77777777" w:rsidR="002C1BA5" w:rsidRPr="00626518" w:rsidRDefault="002C1BA5" w:rsidP="00626518">
            <w:pPr>
              <w:jc w:val="center"/>
              <w:rPr>
                <w:b/>
                <w:sz w:val="20"/>
              </w:rPr>
            </w:pPr>
            <w:r w:rsidRPr="00626518">
              <w:rPr>
                <w:b/>
                <w:sz w:val="20"/>
              </w:rPr>
              <w:t>BSO</w:t>
            </w:r>
          </w:p>
        </w:tc>
      </w:tr>
      <w:tr w:rsidR="002C1BA5" w:rsidRPr="00626518" w14:paraId="585FFB5B" w14:textId="77777777" w:rsidTr="00626518">
        <w:tc>
          <w:tcPr>
            <w:tcW w:w="1316" w:type="dxa"/>
            <w:tcBorders>
              <w:bottom w:val="single" w:sz="4" w:space="0" w:color="auto"/>
            </w:tcBorders>
          </w:tcPr>
          <w:p w14:paraId="5E6291B6" w14:textId="77777777" w:rsidR="002C1BA5" w:rsidRPr="00626518" w:rsidRDefault="002C1BA5" w:rsidP="00626518">
            <w:pPr>
              <w:jc w:val="center"/>
              <w:rPr>
                <w:b/>
                <w:sz w:val="20"/>
              </w:rPr>
            </w:pPr>
          </w:p>
        </w:tc>
        <w:tc>
          <w:tcPr>
            <w:tcW w:w="1316" w:type="dxa"/>
            <w:tcBorders>
              <w:bottom w:val="single" w:sz="4" w:space="0" w:color="auto"/>
            </w:tcBorders>
          </w:tcPr>
          <w:p w14:paraId="067CED67" w14:textId="77777777" w:rsidR="002C1BA5" w:rsidRPr="00626518" w:rsidRDefault="002C1BA5" w:rsidP="00626518">
            <w:pPr>
              <w:jc w:val="center"/>
              <w:rPr>
                <w:b/>
                <w:sz w:val="20"/>
              </w:rPr>
            </w:pPr>
            <w:r w:rsidRPr="00626518">
              <w:rPr>
                <w:b/>
                <w:sz w:val="20"/>
              </w:rPr>
              <w:t>Jongens</w:t>
            </w:r>
          </w:p>
        </w:tc>
        <w:tc>
          <w:tcPr>
            <w:tcW w:w="1316" w:type="dxa"/>
            <w:tcBorders>
              <w:bottom w:val="single" w:sz="4" w:space="0" w:color="auto"/>
            </w:tcBorders>
          </w:tcPr>
          <w:p w14:paraId="01AC4CAF" w14:textId="77777777" w:rsidR="002C1BA5" w:rsidRPr="00626518" w:rsidRDefault="002C1BA5" w:rsidP="00626518">
            <w:pPr>
              <w:jc w:val="center"/>
              <w:rPr>
                <w:b/>
                <w:sz w:val="20"/>
              </w:rPr>
            </w:pPr>
            <w:r w:rsidRPr="00626518">
              <w:rPr>
                <w:b/>
                <w:sz w:val="20"/>
              </w:rPr>
              <w:t>Meisjes</w:t>
            </w:r>
          </w:p>
        </w:tc>
        <w:tc>
          <w:tcPr>
            <w:tcW w:w="1316" w:type="dxa"/>
            <w:tcBorders>
              <w:bottom w:val="single" w:sz="4" w:space="0" w:color="auto"/>
            </w:tcBorders>
          </w:tcPr>
          <w:p w14:paraId="4A0674E5" w14:textId="77777777" w:rsidR="002C1BA5" w:rsidRPr="00626518" w:rsidRDefault="002C1BA5" w:rsidP="00626518">
            <w:pPr>
              <w:jc w:val="center"/>
              <w:rPr>
                <w:b/>
                <w:sz w:val="20"/>
              </w:rPr>
            </w:pPr>
            <w:r w:rsidRPr="00626518">
              <w:rPr>
                <w:b/>
                <w:sz w:val="20"/>
              </w:rPr>
              <w:t>Jongens</w:t>
            </w:r>
          </w:p>
        </w:tc>
        <w:tc>
          <w:tcPr>
            <w:tcW w:w="1316" w:type="dxa"/>
            <w:tcBorders>
              <w:bottom w:val="single" w:sz="4" w:space="0" w:color="auto"/>
            </w:tcBorders>
          </w:tcPr>
          <w:p w14:paraId="74BF4C2F" w14:textId="77777777" w:rsidR="002C1BA5" w:rsidRPr="00626518" w:rsidRDefault="002C1BA5" w:rsidP="00626518">
            <w:pPr>
              <w:jc w:val="center"/>
              <w:rPr>
                <w:b/>
                <w:sz w:val="20"/>
              </w:rPr>
            </w:pPr>
            <w:r w:rsidRPr="00626518">
              <w:rPr>
                <w:b/>
                <w:sz w:val="20"/>
              </w:rPr>
              <w:t>Meisjes</w:t>
            </w:r>
          </w:p>
        </w:tc>
        <w:tc>
          <w:tcPr>
            <w:tcW w:w="1316" w:type="dxa"/>
            <w:tcBorders>
              <w:bottom w:val="single" w:sz="4" w:space="0" w:color="auto"/>
            </w:tcBorders>
          </w:tcPr>
          <w:p w14:paraId="69DA937E" w14:textId="77777777" w:rsidR="002C1BA5" w:rsidRPr="00626518" w:rsidRDefault="002C1BA5" w:rsidP="00626518">
            <w:pPr>
              <w:jc w:val="center"/>
              <w:rPr>
                <w:b/>
                <w:sz w:val="20"/>
              </w:rPr>
            </w:pPr>
            <w:r w:rsidRPr="00626518">
              <w:rPr>
                <w:b/>
                <w:sz w:val="20"/>
              </w:rPr>
              <w:t>Jongens</w:t>
            </w:r>
          </w:p>
        </w:tc>
        <w:tc>
          <w:tcPr>
            <w:tcW w:w="1316" w:type="dxa"/>
            <w:tcBorders>
              <w:bottom w:val="single" w:sz="4" w:space="0" w:color="auto"/>
            </w:tcBorders>
          </w:tcPr>
          <w:p w14:paraId="015942B0" w14:textId="77777777" w:rsidR="002C1BA5" w:rsidRPr="00626518" w:rsidRDefault="002C1BA5" w:rsidP="00626518">
            <w:pPr>
              <w:jc w:val="center"/>
              <w:rPr>
                <w:b/>
                <w:sz w:val="20"/>
              </w:rPr>
            </w:pPr>
            <w:r w:rsidRPr="00626518">
              <w:rPr>
                <w:b/>
                <w:sz w:val="20"/>
              </w:rPr>
              <w:t>Meisjes</w:t>
            </w:r>
          </w:p>
        </w:tc>
      </w:tr>
      <w:tr w:rsidR="002C1BA5" w:rsidRPr="00626518" w14:paraId="75FD2917" w14:textId="77777777" w:rsidTr="00626518">
        <w:tc>
          <w:tcPr>
            <w:tcW w:w="1316" w:type="dxa"/>
            <w:tcBorders>
              <w:top w:val="single" w:sz="4" w:space="0" w:color="auto"/>
            </w:tcBorders>
          </w:tcPr>
          <w:p w14:paraId="753AAC58" w14:textId="77777777" w:rsidR="002C1BA5" w:rsidRPr="00626518" w:rsidRDefault="002C1BA5" w:rsidP="00626518">
            <w:pPr>
              <w:jc w:val="center"/>
              <w:rPr>
                <w:b/>
                <w:sz w:val="20"/>
              </w:rPr>
            </w:pPr>
            <w:r w:rsidRPr="00626518">
              <w:rPr>
                <w:sz w:val="20"/>
              </w:rPr>
              <w:t>Nooit</w:t>
            </w:r>
          </w:p>
        </w:tc>
        <w:tc>
          <w:tcPr>
            <w:tcW w:w="1316" w:type="dxa"/>
            <w:tcBorders>
              <w:top w:val="single" w:sz="4" w:space="0" w:color="auto"/>
            </w:tcBorders>
          </w:tcPr>
          <w:p w14:paraId="66F2B2EA" w14:textId="77777777" w:rsidR="002C1BA5" w:rsidRPr="00626518" w:rsidRDefault="002C1BA5" w:rsidP="00626518">
            <w:pPr>
              <w:jc w:val="center"/>
              <w:rPr>
                <w:sz w:val="20"/>
              </w:rPr>
            </w:pPr>
            <w:r w:rsidRPr="00626518">
              <w:rPr>
                <w:sz w:val="20"/>
              </w:rPr>
              <w:t>91</w:t>
            </w:r>
            <w:r w:rsidR="0051318B" w:rsidRPr="00626518">
              <w:rPr>
                <w:sz w:val="20"/>
              </w:rPr>
              <w:t>,</w:t>
            </w:r>
            <w:r w:rsidRPr="00626518">
              <w:rPr>
                <w:sz w:val="20"/>
              </w:rPr>
              <w:t>5</w:t>
            </w:r>
          </w:p>
        </w:tc>
        <w:tc>
          <w:tcPr>
            <w:tcW w:w="1316" w:type="dxa"/>
            <w:tcBorders>
              <w:top w:val="single" w:sz="4" w:space="0" w:color="auto"/>
            </w:tcBorders>
          </w:tcPr>
          <w:p w14:paraId="07C69A18" w14:textId="77777777" w:rsidR="002C1BA5" w:rsidRPr="00626518" w:rsidRDefault="002C1BA5" w:rsidP="00626518">
            <w:pPr>
              <w:jc w:val="center"/>
              <w:rPr>
                <w:sz w:val="20"/>
              </w:rPr>
            </w:pPr>
            <w:r w:rsidRPr="00626518">
              <w:rPr>
                <w:sz w:val="20"/>
              </w:rPr>
              <w:t>96</w:t>
            </w:r>
            <w:r w:rsidR="0051318B" w:rsidRPr="00626518">
              <w:rPr>
                <w:sz w:val="20"/>
              </w:rPr>
              <w:t>,</w:t>
            </w:r>
            <w:r w:rsidRPr="00626518">
              <w:rPr>
                <w:sz w:val="20"/>
              </w:rPr>
              <w:t>2</w:t>
            </w:r>
          </w:p>
        </w:tc>
        <w:tc>
          <w:tcPr>
            <w:tcW w:w="1316" w:type="dxa"/>
            <w:tcBorders>
              <w:top w:val="single" w:sz="4" w:space="0" w:color="auto"/>
            </w:tcBorders>
          </w:tcPr>
          <w:p w14:paraId="69125173" w14:textId="77777777" w:rsidR="002C1BA5" w:rsidRPr="00626518" w:rsidRDefault="002C1BA5" w:rsidP="00626518">
            <w:pPr>
              <w:jc w:val="center"/>
              <w:rPr>
                <w:sz w:val="20"/>
              </w:rPr>
            </w:pPr>
            <w:r w:rsidRPr="00626518">
              <w:rPr>
                <w:sz w:val="20"/>
              </w:rPr>
              <w:t>83</w:t>
            </w:r>
            <w:r w:rsidR="0051318B" w:rsidRPr="00626518">
              <w:rPr>
                <w:sz w:val="20"/>
              </w:rPr>
              <w:t>,</w:t>
            </w:r>
            <w:r w:rsidRPr="00626518">
              <w:rPr>
                <w:sz w:val="20"/>
              </w:rPr>
              <w:t>8</w:t>
            </w:r>
          </w:p>
        </w:tc>
        <w:tc>
          <w:tcPr>
            <w:tcW w:w="1316" w:type="dxa"/>
            <w:tcBorders>
              <w:top w:val="single" w:sz="4" w:space="0" w:color="auto"/>
            </w:tcBorders>
          </w:tcPr>
          <w:p w14:paraId="7ECB9498" w14:textId="77777777" w:rsidR="002C1BA5" w:rsidRPr="00626518" w:rsidRDefault="002C1BA5" w:rsidP="00626518">
            <w:pPr>
              <w:jc w:val="center"/>
              <w:rPr>
                <w:sz w:val="20"/>
              </w:rPr>
            </w:pPr>
            <w:r w:rsidRPr="00626518">
              <w:rPr>
                <w:sz w:val="20"/>
              </w:rPr>
              <w:t>87</w:t>
            </w:r>
            <w:r w:rsidR="0051318B" w:rsidRPr="00626518">
              <w:rPr>
                <w:sz w:val="20"/>
              </w:rPr>
              <w:t>,</w:t>
            </w:r>
            <w:r w:rsidRPr="00626518">
              <w:rPr>
                <w:sz w:val="20"/>
              </w:rPr>
              <w:t>6</w:t>
            </w:r>
          </w:p>
        </w:tc>
        <w:tc>
          <w:tcPr>
            <w:tcW w:w="1316" w:type="dxa"/>
            <w:tcBorders>
              <w:top w:val="single" w:sz="4" w:space="0" w:color="auto"/>
            </w:tcBorders>
          </w:tcPr>
          <w:p w14:paraId="63109A08" w14:textId="77777777" w:rsidR="002C1BA5" w:rsidRPr="00626518" w:rsidRDefault="002C1BA5" w:rsidP="00626518">
            <w:pPr>
              <w:jc w:val="center"/>
              <w:rPr>
                <w:sz w:val="20"/>
              </w:rPr>
            </w:pPr>
            <w:r w:rsidRPr="00626518">
              <w:rPr>
                <w:sz w:val="20"/>
              </w:rPr>
              <w:t>83</w:t>
            </w:r>
            <w:r w:rsidR="0051318B" w:rsidRPr="00626518">
              <w:rPr>
                <w:sz w:val="20"/>
              </w:rPr>
              <w:t>,</w:t>
            </w:r>
            <w:r w:rsidRPr="00626518">
              <w:rPr>
                <w:sz w:val="20"/>
              </w:rPr>
              <w:t>1</w:t>
            </w:r>
          </w:p>
        </w:tc>
        <w:tc>
          <w:tcPr>
            <w:tcW w:w="1316" w:type="dxa"/>
            <w:tcBorders>
              <w:top w:val="single" w:sz="4" w:space="0" w:color="auto"/>
            </w:tcBorders>
          </w:tcPr>
          <w:p w14:paraId="0EF206D7" w14:textId="77777777" w:rsidR="002C1BA5" w:rsidRPr="00626518" w:rsidRDefault="002C1BA5" w:rsidP="00626518">
            <w:pPr>
              <w:jc w:val="center"/>
              <w:rPr>
                <w:sz w:val="20"/>
              </w:rPr>
            </w:pPr>
            <w:r w:rsidRPr="00626518">
              <w:rPr>
                <w:sz w:val="20"/>
              </w:rPr>
              <w:t>85</w:t>
            </w:r>
            <w:r w:rsidR="0051318B" w:rsidRPr="00626518">
              <w:rPr>
                <w:sz w:val="20"/>
              </w:rPr>
              <w:t>,</w:t>
            </w:r>
            <w:r w:rsidRPr="00626518">
              <w:rPr>
                <w:sz w:val="20"/>
              </w:rPr>
              <w:t>3</w:t>
            </w:r>
          </w:p>
        </w:tc>
      </w:tr>
      <w:tr w:rsidR="002C1BA5" w:rsidRPr="00626518" w14:paraId="4DCD2370" w14:textId="77777777" w:rsidTr="00F57F2A">
        <w:tc>
          <w:tcPr>
            <w:tcW w:w="1316" w:type="dxa"/>
          </w:tcPr>
          <w:p w14:paraId="0C1E4009" w14:textId="77777777" w:rsidR="002C1BA5" w:rsidRPr="00626518" w:rsidRDefault="002C1BA5" w:rsidP="00626518">
            <w:pPr>
              <w:jc w:val="center"/>
              <w:rPr>
                <w:b/>
                <w:sz w:val="20"/>
              </w:rPr>
            </w:pPr>
            <w:r w:rsidRPr="00626518">
              <w:rPr>
                <w:sz w:val="20"/>
              </w:rPr>
              <w:t>1-2 Dagen</w:t>
            </w:r>
          </w:p>
        </w:tc>
        <w:tc>
          <w:tcPr>
            <w:tcW w:w="1316" w:type="dxa"/>
          </w:tcPr>
          <w:p w14:paraId="7F8B434D" w14:textId="77777777" w:rsidR="002C1BA5" w:rsidRPr="00626518" w:rsidRDefault="002C1BA5" w:rsidP="00626518">
            <w:pPr>
              <w:jc w:val="center"/>
              <w:rPr>
                <w:sz w:val="20"/>
              </w:rPr>
            </w:pPr>
            <w:r w:rsidRPr="00626518">
              <w:rPr>
                <w:sz w:val="20"/>
              </w:rPr>
              <w:t>4</w:t>
            </w:r>
            <w:r w:rsidR="0051318B" w:rsidRPr="00626518">
              <w:rPr>
                <w:sz w:val="20"/>
              </w:rPr>
              <w:t>,</w:t>
            </w:r>
            <w:r w:rsidRPr="00626518">
              <w:rPr>
                <w:sz w:val="20"/>
              </w:rPr>
              <w:t>2</w:t>
            </w:r>
          </w:p>
        </w:tc>
        <w:tc>
          <w:tcPr>
            <w:tcW w:w="1316" w:type="dxa"/>
          </w:tcPr>
          <w:p w14:paraId="1CA1DD5B" w14:textId="77777777" w:rsidR="002C1BA5" w:rsidRPr="00626518" w:rsidRDefault="002C1BA5" w:rsidP="00626518">
            <w:pPr>
              <w:jc w:val="center"/>
              <w:rPr>
                <w:sz w:val="20"/>
              </w:rPr>
            </w:pPr>
            <w:r w:rsidRPr="00626518">
              <w:rPr>
                <w:sz w:val="20"/>
              </w:rPr>
              <w:t>3</w:t>
            </w:r>
            <w:r w:rsidR="0051318B" w:rsidRPr="00626518">
              <w:rPr>
                <w:sz w:val="20"/>
              </w:rPr>
              <w:t>,</w:t>
            </w:r>
            <w:r w:rsidRPr="00626518">
              <w:rPr>
                <w:sz w:val="20"/>
              </w:rPr>
              <w:t>0</w:t>
            </w:r>
          </w:p>
        </w:tc>
        <w:tc>
          <w:tcPr>
            <w:tcW w:w="1316" w:type="dxa"/>
          </w:tcPr>
          <w:p w14:paraId="08B5B39E" w14:textId="77777777" w:rsidR="002C1BA5" w:rsidRPr="00626518" w:rsidRDefault="002C1BA5" w:rsidP="00626518">
            <w:pPr>
              <w:jc w:val="center"/>
              <w:rPr>
                <w:sz w:val="20"/>
              </w:rPr>
            </w:pPr>
            <w:r w:rsidRPr="00626518">
              <w:rPr>
                <w:sz w:val="20"/>
              </w:rPr>
              <w:t>6</w:t>
            </w:r>
            <w:r w:rsidR="0051318B" w:rsidRPr="00626518">
              <w:rPr>
                <w:sz w:val="20"/>
              </w:rPr>
              <w:t>,</w:t>
            </w:r>
            <w:r w:rsidRPr="00626518">
              <w:rPr>
                <w:sz w:val="20"/>
              </w:rPr>
              <w:t>5</w:t>
            </w:r>
          </w:p>
        </w:tc>
        <w:tc>
          <w:tcPr>
            <w:tcW w:w="1316" w:type="dxa"/>
          </w:tcPr>
          <w:p w14:paraId="3DB879C8" w14:textId="77777777" w:rsidR="002C1BA5" w:rsidRPr="00626518" w:rsidRDefault="002C1BA5" w:rsidP="00626518">
            <w:pPr>
              <w:jc w:val="center"/>
              <w:rPr>
                <w:sz w:val="20"/>
              </w:rPr>
            </w:pPr>
            <w:r w:rsidRPr="00626518">
              <w:rPr>
                <w:sz w:val="20"/>
              </w:rPr>
              <w:t>5</w:t>
            </w:r>
            <w:r w:rsidR="0051318B" w:rsidRPr="00626518">
              <w:rPr>
                <w:sz w:val="20"/>
              </w:rPr>
              <w:t>,</w:t>
            </w:r>
            <w:r w:rsidRPr="00626518">
              <w:rPr>
                <w:sz w:val="20"/>
              </w:rPr>
              <w:t>2</w:t>
            </w:r>
          </w:p>
        </w:tc>
        <w:tc>
          <w:tcPr>
            <w:tcW w:w="1316" w:type="dxa"/>
          </w:tcPr>
          <w:p w14:paraId="6924CF23" w14:textId="77777777" w:rsidR="002C1BA5" w:rsidRPr="00626518" w:rsidRDefault="002C1BA5" w:rsidP="00626518">
            <w:pPr>
              <w:jc w:val="center"/>
              <w:rPr>
                <w:sz w:val="20"/>
              </w:rPr>
            </w:pPr>
            <w:r w:rsidRPr="00626518">
              <w:rPr>
                <w:sz w:val="20"/>
              </w:rPr>
              <w:t>5</w:t>
            </w:r>
            <w:r w:rsidR="0051318B" w:rsidRPr="00626518">
              <w:rPr>
                <w:sz w:val="20"/>
              </w:rPr>
              <w:t>,</w:t>
            </w:r>
            <w:r w:rsidRPr="00626518">
              <w:rPr>
                <w:sz w:val="20"/>
              </w:rPr>
              <w:t>5</w:t>
            </w:r>
          </w:p>
        </w:tc>
        <w:tc>
          <w:tcPr>
            <w:tcW w:w="1316" w:type="dxa"/>
          </w:tcPr>
          <w:p w14:paraId="442B579E" w14:textId="77777777" w:rsidR="002C1BA5" w:rsidRPr="00626518" w:rsidRDefault="002C1BA5" w:rsidP="00626518">
            <w:pPr>
              <w:jc w:val="center"/>
              <w:rPr>
                <w:sz w:val="20"/>
              </w:rPr>
            </w:pPr>
            <w:r w:rsidRPr="00626518">
              <w:rPr>
                <w:sz w:val="20"/>
              </w:rPr>
              <w:t>7</w:t>
            </w:r>
            <w:r w:rsidR="0051318B" w:rsidRPr="00626518">
              <w:rPr>
                <w:sz w:val="20"/>
              </w:rPr>
              <w:t>,</w:t>
            </w:r>
            <w:r w:rsidRPr="00626518">
              <w:rPr>
                <w:sz w:val="20"/>
              </w:rPr>
              <w:t>4</w:t>
            </w:r>
          </w:p>
        </w:tc>
      </w:tr>
      <w:tr w:rsidR="002C1BA5" w:rsidRPr="00626518" w14:paraId="40F4218E" w14:textId="77777777" w:rsidTr="00F57F2A">
        <w:tc>
          <w:tcPr>
            <w:tcW w:w="1316" w:type="dxa"/>
          </w:tcPr>
          <w:p w14:paraId="51D54DC3" w14:textId="77777777" w:rsidR="002C1BA5" w:rsidRPr="00626518" w:rsidRDefault="002C1BA5" w:rsidP="00626518">
            <w:pPr>
              <w:jc w:val="center"/>
              <w:rPr>
                <w:b/>
                <w:sz w:val="20"/>
              </w:rPr>
            </w:pPr>
            <w:r w:rsidRPr="00626518">
              <w:rPr>
                <w:sz w:val="20"/>
              </w:rPr>
              <w:t>3-5 dagen</w:t>
            </w:r>
          </w:p>
        </w:tc>
        <w:tc>
          <w:tcPr>
            <w:tcW w:w="1316" w:type="dxa"/>
          </w:tcPr>
          <w:p w14:paraId="7F151604" w14:textId="77777777" w:rsidR="002C1BA5" w:rsidRPr="00626518" w:rsidRDefault="002C1BA5" w:rsidP="00626518">
            <w:pPr>
              <w:jc w:val="center"/>
              <w:rPr>
                <w:sz w:val="20"/>
              </w:rPr>
            </w:pPr>
            <w:r w:rsidRPr="00626518">
              <w:rPr>
                <w:sz w:val="20"/>
              </w:rPr>
              <w:t>2</w:t>
            </w:r>
            <w:r w:rsidR="0051318B" w:rsidRPr="00626518">
              <w:rPr>
                <w:sz w:val="20"/>
              </w:rPr>
              <w:t>,</w:t>
            </w:r>
            <w:r w:rsidRPr="00626518">
              <w:rPr>
                <w:sz w:val="20"/>
              </w:rPr>
              <w:t>0</w:t>
            </w:r>
          </w:p>
        </w:tc>
        <w:tc>
          <w:tcPr>
            <w:tcW w:w="1316" w:type="dxa"/>
          </w:tcPr>
          <w:p w14:paraId="66FA9209"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4</w:t>
            </w:r>
          </w:p>
        </w:tc>
        <w:tc>
          <w:tcPr>
            <w:tcW w:w="1316" w:type="dxa"/>
          </w:tcPr>
          <w:p w14:paraId="35C14367" w14:textId="77777777" w:rsidR="002C1BA5" w:rsidRPr="00626518" w:rsidRDefault="002C1BA5" w:rsidP="00626518">
            <w:pPr>
              <w:jc w:val="center"/>
              <w:rPr>
                <w:sz w:val="20"/>
              </w:rPr>
            </w:pPr>
            <w:r w:rsidRPr="00626518">
              <w:rPr>
                <w:sz w:val="20"/>
              </w:rPr>
              <w:t>3</w:t>
            </w:r>
            <w:r w:rsidR="0051318B" w:rsidRPr="00626518">
              <w:rPr>
                <w:sz w:val="20"/>
              </w:rPr>
              <w:t>,</w:t>
            </w:r>
            <w:r w:rsidRPr="00626518">
              <w:rPr>
                <w:sz w:val="20"/>
              </w:rPr>
              <w:t>3</w:t>
            </w:r>
          </w:p>
        </w:tc>
        <w:tc>
          <w:tcPr>
            <w:tcW w:w="1316" w:type="dxa"/>
          </w:tcPr>
          <w:p w14:paraId="5243A1FB"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6</w:t>
            </w:r>
          </w:p>
        </w:tc>
        <w:tc>
          <w:tcPr>
            <w:tcW w:w="1316" w:type="dxa"/>
          </w:tcPr>
          <w:p w14:paraId="07A9F2AD" w14:textId="77777777" w:rsidR="002C1BA5" w:rsidRPr="00626518" w:rsidRDefault="002C1BA5" w:rsidP="00626518">
            <w:pPr>
              <w:jc w:val="center"/>
              <w:rPr>
                <w:sz w:val="20"/>
              </w:rPr>
            </w:pPr>
            <w:r w:rsidRPr="00626518">
              <w:rPr>
                <w:sz w:val="20"/>
              </w:rPr>
              <w:t>3</w:t>
            </w:r>
            <w:r w:rsidR="0051318B" w:rsidRPr="00626518">
              <w:rPr>
                <w:sz w:val="20"/>
              </w:rPr>
              <w:t>,</w:t>
            </w:r>
            <w:r w:rsidRPr="00626518">
              <w:rPr>
                <w:sz w:val="20"/>
              </w:rPr>
              <w:t>0</w:t>
            </w:r>
          </w:p>
        </w:tc>
        <w:tc>
          <w:tcPr>
            <w:tcW w:w="1316" w:type="dxa"/>
          </w:tcPr>
          <w:p w14:paraId="1DCF9E2F"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6</w:t>
            </w:r>
          </w:p>
        </w:tc>
      </w:tr>
      <w:tr w:rsidR="002C1BA5" w:rsidRPr="00626518" w14:paraId="08541419" w14:textId="77777777" w:rsidTr="00F57F2A">
        <w:tc>
          <w:tcPr>
            <w:tcW w:w="1316" w:type="dxa"/>
          </w:tcPr>
          <w:p w14:paraId="70B80C11" w14:textId="77777777" w:rsidR="002C1BA5" w:rsidRPr="00626518" w:rsidRDefault="002C1BA5" w:rsidP="00626518">
            <w:pPr>
              <w:jc w:val="center"/>
              <w:rPr>
                <w:b/>
                <w:sz w:val="20"/>
              </w:rPr>
            </w:pPr>
            <w:r w:rsidRPr="00626518">
              <w:rPr>
                <w:sz w:val="20"/>
              </w:rPr>
              <w:t>6-9 dagen</w:t>
            </w:r>
          </w:p>
        </w:tc>
        <w:tc>
          <w:tcPr>
            <w:tcW w:w="1316" w:type="dxa"/>
          </w:tcPr>
          <w:p w14:paraId="5FB3CCF4"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2</w:t>
            </w:r>
          </w:p>
        </w:tc>
        <w:tc>
          <w:tcPr>
            <w:tcW w:w="1316" w:type="dxa"/>
          </w:tcPr>
          <w:p w14:paraId="0FCA9252"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2</w:t>
            </w:r>
          </w:p>
        </w:tc>
        <w:tc>
          <w:tcPr>
            <w:tcW w:w="1316" w:type="dxa"/>
          </w:tcPr>
          <w:p w14:paraId="695C19EB"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9</w:t>
            </w:r>
          </w:p>
        </w:tc>
        <w:tc>
          <w:tcPr>
            <w:tcW w:w="1316" w:type="dxa"/>
          </w:tcPr>
          <w:p w14:paraId="0D5B4D2D"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2</w:t>
            </w:r>
          </w:p>
        </w:tc>
        <w:tc>
          <w:tcPr>
            <w:tcW w:w="1316" w:type="dxa"/>
          </w:tcPr>
          <w:p w14:paraId="02AC740B"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8</w:t>
            </w:r>
          </w:p>
        </w:tc>
        <w:tc>
          <w:tcPr>
            <w:tcW w:w="1316" w:type="dxa"/>
          </w:tcPr>
          <w:p w14:paraId="2CEC826B"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3</w:t>
            </w:r>
          </w:p>
        </w:tc>
      </w:tr>
      <w:tr w:rsidR="002C1BA5" w:rsidRPr="00626518" w14:paraId="3A846766" w14:textId="77777777" w:rsidTr="00F57F2A">
        <w:tc>
          <w:tcPr>
            <w:tcW w:w="1316" w:type="dxa"/>
          </w:tcPr>
          <w:p w14:paraId="1C93C9AB" w14:textId="77777777" w:rsidR="002C1BA5" w:rsidRPr="00626518" w:rsidRDefault="002C1BA5" w:rsidP="00626518">
            <w:pPr>
              <w:jc w:val="center"/>
              <w:rPr>
                <w:b/>
                <w:sz w:val="20"/>
              </w:rPr>
            </w:pPr>
            <w:r w:rsidRPr="00626518">
              <w:rPr>
                <w:sz w:val="20"/>
              </w:rPr>
              <w:t>10-19 dagen</w:t>
            </w:r>
          </w:p>
        </w:tc>
        <w:tc>
          <w:tcPr>
            <w:tcW w:w="1316" w:type="dxa"/>
          </w:tcPr>
          <w:p w14:paraId="6CAC5CA4"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4</w:t>
            </w:r>
          </w:p>
        </w:tc>
        <w:tc>
          <w:tcPr>
            <w:tcW w:w="1316" w:type="dxa"/>
          </w:tcPr>
          <w:p w14:paraId="2B6AF046"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1</w:t>
            </w:r>
          </w:p>
        </w:tc>
        <w:tc>
          <w:tcPr>
            <w:tcW w:w="1316" w:type="dxa"/>
          </w:tcPr>
          <w:p w14:paraId="40906819"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9</w:t>
            </w:r>
          </w:p>
        </w:tc>
        <w:tc>
          <w:tcPr>
            <w:tcW w:w="1316" w:type="dxa"/>
          </w:tcPr>
          <w:p w14:paraId="7EF66989"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6</w:t>
            </w:r>
          </w:p>
        </w:tc>
        <w:tc>
          <w:tcPr>
            <w:tcW w:w="1316" w:type="dxa"/>
          </w:tcPr>
          <w:p w14:paraId="4E3BA089" w14:textId="77777777" w:rsidR="002C1BA5" w:rsidRPr="00626518" w:rsidRDefault="002C1BA5" w:rsidP="00626518">
            <w:pPr>
              <w:jc w:val="center"/>
              <w:rPr>
                <w:sz w:val="20"/>
              </w:rPr>
            </w:pPr>
            <w:r w:rsidRPr="00626518">
              <w:rPr>
                <w:sz w:val="20"/>
              </w:rPr>
              <w:t>2</w:t>
            </w:r>
            <w:r w:rsidR="0051318B" w:rsidRPr="00626518">
              <w:rPr>
                <w:sz w:val="20"/>
              </w:rPr>
              <w:t>,</w:t>
            </w:r>
            <w:r w:rsidRPr="00626518">
              <w:rPr>
                <w:sz w:val="20"/>
              </w:rPr>
              <w:t>0</w:t>
            </w:r>
          </w:p>
        </w:tc>
        <w:tc>
          <w:tcPr>
            <w:tcW w:w="1316" w:type="dxa"/>
          </w:tcPr>
          <w:p w14:paraId="608A73AC" w14:textId="77777777" w:rsidR="002C1BA5" w:rsidRPr="00626518" w:rsidRDefault="002C1BA5" w:rsidP="00626518">
            <w:pPr>
              <w:jc w:val="center"/>
              <w:rPr>
                <w:sz w:val="20"/>
              </w:rPr>
            </w:pPr>
            <w:r w:rsidRPr="00626518">
              <w:rPr>
                <w:sz w:val="20"/>
              </w:rPr>
              <w:t>2</w:t>
            </w:r>
            <w:r w:rsidR="0051318B" w:rsidRPr="00626518">
              <w:rPr>
                <w:sz w:val="20"/>
              </w:rPr>
              <w:t>,</w:t>
            </w:r>
            <w:r w:rsidRPr="00626518">
              <w:rPr>
                <w:sz w:val="20"/>
              </w:rPr>
              <w:t>1</w:t>
            </w:r>
          </w:p>
        </w:tc>
      </w:tr>
      <w:tr w:rsidR="002C1BA5" w:rsidRPr="00626518" w14:paraId="03B5AD6D" w14:textId="77777777" w:rsidTr="00F57F2A">
        <w:tc>
          <w:tcPr>
            <w:tcW w:w="1316" w:type="dxa"/>
          </w:tcPr>
          <w:p w14:paraId="047F8CB3" w14:textId="77777777" w:rsidR="002C1BA5" w:rsidRPr="00626518" w:rsidRDefault="002C1BA5" w:rsidP="00626518">
            <w:pPr>
              <w:jc w:val="center"/>
              <w:rPr>
                <w:b/>
                <w:sz w:val="20"/>
              </w:rPr>
            </w:pPr>
            <w:r w:rsidRPr="00626518">
              <w:rPr>
                <w:sz w:val="20"/>
              </w:rPr>
              <w:t>20-29 dagen</w:t>
            </w:r>
          </w:p>
        </w:tc>
        <w:tc>
          <w:tcPr>
            <w:tcW w:w="1316" w:type="dxa"/>
          </w:tcPr>
          <w:p w14:paraId="2C455DEF"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3</w:t>
            </w:r>
          </w:p>
        </w:tc>
        <w:tc>
          <w:tcPr>
            <w:tcW w:w="1316" w:type="dxa"/>
          </w:tcPr>
          <w:p w14:paraId="7C31686C"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2</w:t>
            </w:r>
          </w:p>
        </w:tc>
        <w:tc>
          <w:tcPr>
            <w:tcW w:w="1316" w:type="dxa"/>
          </w:tcPr>
          <w:p w14:paraId="0E7FE5D5"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7</w:t>
            </w:r>
          </w:p>
        </w:tc>
        <w:tc>
          <w:tcPr>
            <w:tcW w:w="1316" w:type="dxa"/>
          </w:tcPr>
          <w:p w14:paraId="5BA0D3C0"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0</w:t>
            </w:r>
          </w:p>
        </w:tc>
        <w:tc>
          <w:tcPr>
            <w:tcW w:w="1316" w:type="dxa"/>
          </w:tcPr>
          <w:p w14:paraId="43E84F81"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8</w:t>
            </w:r>
          </w:p>
        </w:tc>
        <w:tc>
          <w:tcPr>
            <w:tcW w:w="1316" w:type="dxa"/>
          </w:tcPr>
          <w:p w14:paraId="423EF123"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3</w:t>
            </w:r>
          </w:p>
        </w:tc>
      </w:tr>
      <w:tr w:rsidR="002C1BA5" w:rsidRPr="00626518" w14:paraId="563C7950" w14:textId="77777777" w:rsidTr="00F57F2A">
        <w:tc>
          <w:tcPr>
            <w:tcW w:w="1316" w:type="dxa"/>
          </w:tcPr>
          <w:p w14:paraId="6BCADCAD" w14:textId="77777777" w:rsidR="002C1BA5" w:rsidRPr="00626518" w:rsidRDefault="002C1BA5" w:rsidP="00626518">
            <w:pPr>
              <w:jc w:val="center"/>
              <w:rPr>
                <w:b/>
                <w:sz w:val="20"/>
              </w:rPr>
            </w:pPr>
            <w:r w:rsidRPr="00626518">
              <w:rPr>
                <w:sz w:val="20"/>
              </w:rPr>
              <w:t>30 dagen of meer</w:t>
            </w:r>
          </w:p>
        </w:tc>
        <w:tc>
          <w:tcPr>
            <w:tcW w:w="1316" w:type="dxa"/>
          </w:tcPr>
          <w:p w14:paraId="6080CDE2"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4</w:t>
            </w:r>
          </w:p>
        </w:tc>
        <w:tc>
          <w:tcPr>
            <w:tcW w:w="1316" w:type="dxa"/>
          </w:tcPr>
          <w:p w14:paraId="48674CD0" w14:textId="77777777" w:rsidR="002C1BA5" w:rsidRPr="00626518" w:rsidRDefault="002C1BA5" w:rsidP="00626518">
            <w:pPr>
              <w:jc w:val="center"/>
              <w:rPr>
                <w:sz w:val="20"/>
              </w:rPr>
            </w:pPr>
            <w:r w:rsidRPr="00626518">
              <w:rPr>
                <w:sz w:val="20"/>
              </w:rPr>
              <w:t>0</w:t>
            </w:r>
            <w:r w:rsidR="0051318B" w:rsidRPr="00626518">
              <w:rPr>
                <w:sz w:val="20"/>
              </w:rPr>
              <w:t>,</w:t>
            </w:r>
            <w:r w:rsidRPr="00626518">
              <w:rPr>
                <w:sz w:val="20"/>
              </w:rPr>
              <w:t>0</w:t>
            </w:r>
          </w:p>
        </w:tc>
        <w:tc>
          <w:tcPr>
            <w:tcW w:w="1316" w:type="dxa"/>
          </w:tcPr>
          <w:p w14:paraId="3DFAAF1D"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8</w:t>
            </w:r>
          </w:p>
        </w:tc>
        <w:tc>
          <w:tcPr>
            <w:tcW w:w="1316" w:type="dxa"/>
          </w:tcPr>
          <w:p w14:paraId="551CC66C"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6</w:t>
            </w:r>
          </w:p>
        </w:tc>
        <w:tc>
          <w:tcPr>
            <w:tcW w:w="1316" w:type="dxa"/>
          </w:tcPr>
          <w:p w14:paraId="4BF503BC" w14:textId="77777777" w:rsidR="002C1BA5" w:rsidRPr="00626518" w:rsidRDefault="002C1BA5" w:rsidP="00626518">
            <w:pPr>
              <w:jc w:val="center"/>
              <w:rPr>
                <w:sz w:val="20"/>
              </w:rPr>
            </w:pPr>
            <w:r w:rsidRPr="00626518">
              <w:rPr>
                <w:sz w:val="20"/>
              </w:rPr>
              <w:t>3</w:t>
            </w:r>
            <w:r w:rsidR="0051318B" w:rsidRPr="00626518">
              <w:rPr>
                <w:sz w:val="20"/>
              </w:rPr>
              <w:t>,</w:t>
            </w:r>
            <w:r w:rsidRPr="00626518">
              <w:rPr>
                <w:sz w:val="20"/>
              </w:rPr>
              <w:t>6</w:t>
            </w:r>
          </w:p>
        </w:tc>
        <w:tc>
          <w:tcPr>
            <w:tcW w:w="1316" w:type="dxa"/>
          </w:tcPr>
          <w:p w14:paraId="119D2FB9" w14:textId="77777777" w:rsidR="002C1BA5" w:rsidRPr="00626518" w:rsidRDefault="002C1BA5" w:rsidP="00626518">
            <w:pPr>
              <w:jc w:val="center"/>
              <w:rPr>
                <w:sz w:val="20"/>
              </w:rPr>
            </w:pPr>
            <w:r w:rsidRPr="00626518">
              <w:rPr>
                <w:sz w:val="20"/>
              </w:rPr>
              <w:t>1</w:t>
            </w:r>
            <w:r w:rsidR="0051318B" w:rsidRPr="00626518">
              <w:rPr>
                <w:sz w:val="20"/>
              </w:rPr>
              <w:t>,</w:t>
            </w:r>
            <w:r w:rsidRPr="00626518">
              <w:rPr>
                <w:sz w:val="20"/>
              </w:rPr>
              <w:t>1</w:t>
            </w:r>
          </w:p>
        </w:tc>
      </w:tr>
    </w:tbl>
    <w:p w14:paraId="6906D93D" w14:textId="77777777" w:rsidR="00237B54" w:rsidRDefault="00237B54" w:rsidP="00395444"/>
    <w:p w14:paraId="46C8D792" w14:textId="77777777" w:rsidR="000B415F" w:rsidRDefault="000B415F" w:rsidP="00395444"/>
    <w:p w14:paraId="2202D0C9" w14:textId="77777777" w:rsidR="000B415F" w:rsidRPr="00237B54" w:rsidRDefault="000B415F" w:rsidP="00626518">
      <w:pPr>
        <w:pStyle w:val="Heading2"/>
      </w:pPr>
      <w:r>
        <w:t>Leeftijd eerste keer cannabis</w:t>
      </w:r>
    </w:p>
    <w:p w14:paraId="4F2076F8" w14:textId="77777777" w:rsidR="000B415F" w:rsidRPr="00626518" w:rsidRDefault="000B415F" w:rsidP="00626518">
      <w:r w:rsidRPr="000B415F">
        <w:t>Tot slot bevroegen we in 2014 ook de leeftijd waarop jongeren de eerste</w:t>
      </w:r>
      <w:r w:rsidR="0051318B">
        <w:t xml:space="preserve"> maal cannabis consumeerden. 80,</w:t>
      </w:r>
      <w:r w:rsidR="00F57F2A">
        <w:t>8% van de jongens en 84,</w:t>
      </w:r>
      <w:r w:rsidRPr="000B415F">
        <w:t xml:space="preserve">8% van de meisjes gaven aan nog nooit cannabis te hebben geconsumeerd. Bij de jongeren </w:t>
      </w:r>
      <w:r w:rsidR="00E026E3">
        <w:t>d</w:t>
      </w:r>
      <w:r w:rsidRPr="000B415F">
        <w:t xml:space="preserve">ie dit wel al gedaan hebben, ligt </w:t>
      </w:r>
      <w:r w:rsidR="00F57F2A">
        <w:t>de mediaan voor eerste cannabis</w:t>
      </w:r>
      <w:r w:rsidRPr="000B415F">
        <w:t>consumptie op 15 jaar, zowel bij jongens als bij meisjes</w:t>
      </w:r>
      <w:r>
        <w:t>.</w:t>
      </w:r>
      <w:r w:rsidR="002C1BA5">
        <w:t xml:space="preserve"> Aangezien deze data voor de eerste maal bevraagd werd in 2014, is vergelijking met voorgaande enquêtes niet mogelijk.</w:t>
      </w:r>
    </w:p>
    <w:p w14:paraId="6F6A7FDF" w14:textId="77777777" w:rsidR="006732A9" w:rsidRDefault="006732A9" w:rsidP="00F9683D">
      <w:pPr>
        <w:keepNext/>
      </w:pPr>
    </w:p>
    <w:p w14:paraId="3AE604B2" w14:textId="77777777" w:rsidR="00F9683D" w:rsidRDefault="000B415F" w:rsidP="00F9683D">
      <w:pPr>
        <w:keepNext/>
      </w:pPr>
      <w:r>
        <w:rPr>
          <w:noProof/>
          <w:lang w:val="nl-BE" w:eastAsia="nl-BE"/>
        </w:rPr>
        <w:drawing>
          <wp:inline distT="0" distB="0" distL="0" distR="0" wp14:anchorId="771057C4" wp14:editId="7E73B123">
            <wp:extent cx="5350686" cy="3299460"/>
            <wp:effectExtent l="0" t="0" r="2540" b="15240"/>
            <wp:docPr id="21"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993D4D" w14:textId="18862D12" w:rsidR="000B415F" w:rsidRPr="00237B54" w:rsidRDefault="00F9683D" w:rsidP="00F9683D">
      <w:pPr>
        <w:pStyle w:val="Caption"/>
      </w:pPr>
      <w:r>
        <w:t xml:space="preserve">Grafiek </w:t>
      </w:r>
      <w:fldSimple w:instr=" SEQ Grafiek \* ARABIC ">
        <w:r>
          <w:rPr>
            <w:noProof/>
          </w:rPr>
          <w:t>3</w:t>
        </w:r>
      </w:fldSimple>
      <w:r>
        <w:t xml:space="preserve"> </w:t>
      </w:r>
      <w:r w:rsidRPr="00E15807">
        <w:t>Leeftijd eerste cannabisconsumptie, in percentage</w:t>
      </w:r>
    </w:p>
    <w:p w14:paraId="33D16CAB" w14:textId="77777777" w:rsidR="00565318" w:rsidRDefault="00565318" w:rsidP="00395444">
      <w:pPr>
        <w:rPr>
          <w:highlight w:val="yellow"/>
        </w:rPr>
      </w:pPr>
    </w:p>
    <w:p w14:paraId="4BC3E92C" w14:textId="77777777" w:rsidR="00626518" w:rsidRDefault="00626518" w:rsidP="00395444">
      <w:pPr>
        <w:rPr>
          <w:highlight w:val="yellow"/>
        </w:rPr>
      </w:pPr>
    </w:p>
    <w:p w14:paraId="24870B37" w14:textId="77777777" w:rsidR="00565318" w:rsidRPr="007D11C7" w:rsidRDefault="00565318" w:rsidP="00626518">
      <w:pPr>
        <w:pStyle w:val="Heading1"/>
      </w:pPr>
      <w:r w:rsidRPr="007D11C7">
        <w:t>Besluit</w:t>
      </w:r>
    </w:p>
    <w:p w14:paraId="44F1DBFD" w14:textId="77777777" w:rsidR="00C2640E" w:rsidRDefault="000B415F" w:rsidP="00395444">
      <w:pPr>
        <w:rPr>
          <w:lang w:val="nl-BE"/>
        </w:rPr>
      </w:pPr>
      <w:r>
        <w:rPr>
          <w:lang w:val="nl-BE"/>
        </w:rPr>
        <w:t>In 2014 stellen we een significante afname vast van het aantal jongens dat ooit al cannabis geconsumeerd heeft.</w:t>
      </w:r>
      <w:r w:rsidR="007D11C7">
        <w:rPr>
          <w:lang w:val="nl-BE"/>
        </w:rPr>
        <w:t xml:space="preserve"> </w:t>
      </w:r>
      <w:r>
        <w:rPr>
          <w:lang w:val="nl-BE"/>
        </w:rPr>
        <w:t>Bij de meisjes is er geen significant verschil in vergelijking met 2010.</w:t>
      </w:r>
      <w:r w:rsidR="007D11C7">
        <w:rPr>
          <w:lang w:val="nl-BE"/>
        </w:rPr>
        <w:t xml:space="preserve"> </w:t>
      </w:r>
    </w:p>
    <w:p w14:paraId="193A9748" w14:textId="738772AD" w:rsidR="00C2640E" w:rsidRDefault="007D11C7" w:rsidP="00395444">
      <w:pPr>
        <w:rPr>
          <w:lang w:val="nl-BE"/>
        </w:rPr>
      </w:pPr>
      <w:r>
        <w:rPr>
          <w:lang w:val="nl-BE"/>
        </w:rPr>
        <w:t xml:space="preserve">De Vlaamse doelstelling om life-time gebruik van cannabis onder de 14% te krijgen voor jongeren onder de 18 jaar wordt echter nog niet gehaald. </w:t>
      </w:r>
    </w:p>
    <w:p w14:paraId="2988E716" w14:textId="77777777" w:rsidR="00C2640E" w:rsidRDefault="00C2640E" w:rsidP="00395444">
      <w:pPr>
        <w:rPr>
          <w:lang w:val="nl-BE"/>
        </w:rPr>
      </w:pPr>
    </w:p>
    <w:p w14:paraId="7A71C566" w14:textId="77777777" w:rsidR="00C2640E" w:rsidRDefault="00F57F2A" w:rsidP="00395444">
      <w:pPr>
        <w:rPr>
          <w:lang w:val="nl-BE"/>
        </w:rPr>
      </w:pPr>
      <w:r>
        <w:rPr>
          <w:lang w:val="nl-BE"/>
        </w:rPr>
        <w:t>Bij het laatste-maand-</w:t>
      </w:r>
      <w:r w:rsidR="00E026E3">
        <w:rPr>
          <w:lang w:val="nl-BE"/>
        </w:rPr>
        <w:t xml:space="preserve">gebruik </w:t>
      </w:r>
      <w:r w:rsidR="007D11C7">
        <w:rPr>
          <w:lang w:val="nl-BE"/>
        </w:rPr>
        <w:t xml:space="preserve">zien we een significante stijging bij de meisjes. </w:t>
      </w:r>
    </w:p>
    <w:p w14:paraId="419C42E2" w14:textId="77777777" w:rsidR="00C2640E" w:rsidRDefault="00C2640E" w:rsidP="00395444">
      <w:pPr>
        <w:rPr>
          <w:lang w:val="nl-BE"/>
        </w:rPr>
      </w:pPr>
    </w:p>
    <w:p w14:paraId="23FCC64C" w14:textId="12CAA0E1" w:rsidR="00565318" w:rsidRPr="000B415F" w:rsidRDefault="007D11C7" w:rsidP="00395444">
      <w:pPr>
        <w:rPr>
          <w:lang w:val="nl-BE"/>
        </w:rPr>
      </w:pPr>
      <w:r>
        <w:rPr>
          <w:lang w:val="nl-BE"/>
        </w:rPr>
        <w:t>Verder zijn er significante verschillen naar onderwijstype en leeftijd:</w:t>
      </w:r>
      <w:r w:rsidR="0007767E">
        <w:rPr>
          <w:lang w:val="nl-BE"/>
        </w:rPr>
        <w:t xml:space="preserve"> cannabisgebruik neemt toe naarmate men ouder wordt. Bovendien consumeren </w:t>
      </w:r>
      <w:r>
        <w:rPr>
          <w:lang w:val="nl-BE"/>
        </w:rPr>
        <w:t>meer jongeren uit het beroepsonderwijs cannabis</w:t>
      </w:r>
      <w:r w:rsidR="0007767E">
        <w:rPr>
          <w:lang w:val="nl-BE"/>
        </w:rPr>
        <w:t xml:space="preserve"> dan jongeren uit de andere onderwijstypes</w:t>
      </w:r>
      <w:r>
        <w:rPr>
          <w:lang w:val="nl-BE"/>
        </w:rPr>
        <w:t>. De prevalentie van cannabisgebruik is het laagste bij jongeren uit het algeme</w:t>
      </w:r>
      <w:r w:rsidR="0007767E">
        <w:rPr>
          <w:lang w:val="nl-BE"/>
        </w:rPr>
        <w:t>en secundair onderwijs.</w:t>
      </w:r>
    </w:p>
    <w:p w14:paraId="33502275" w14:textId="77777777" w:rsidR="00565318" w:rsidRPr="008C1F21" w:rsidRDefault="00565318" w:rsidP="00395444">
      <w:pPr>
        <w:rPr>
          <w:highlight w:val="yellow"/>
          <w:lang w:val="nl-BE"/>
        </w:rPr>
      </w:pPr>
    </w:p>
    <w:p w14:paraId="2446BBF8" w14:textId="32DE86C2" w:rsidR="006732A9" w:rsidRDefault="006732A9">
      <w:pPr>
        <w:jc w:val="left"/>
        <w:rPr>
          <w:highlight w:val="yellow"/>
        </w:rPr>
      </w:pPr>
      <w:r>
        <w:rPr>
          <w:highlight w:val="yellow"/>
        </w:rPr>
        <w:br w:type="page"/>
      </w:r>
    </w:p>
    <w:p w14:paraId="1DE4A196" w14:textId="77777777" w:rsidR="00565318" w:rsidRPr="008C1F21" w:rsidRDefault="00565318" w:rsidP="00395444">
      <w:pPr>
        <w:rPr>
          <w:highlight w:val="yellow"/>
        </w:rPr>
      </w:pPr>
    </w:p>
    <w:p w14:paraId="48A5EE49" w14:textId="77777777" w:rsidR="00565318" w:rsidRPr="007370EA" w:rsidRDefault="00565318" w:rsidP="00626518">
      <w:pPr>
        <w:pStyle w:val="Heading1"/>
      </w:pPr>
      <w:r w:rsidRPr="007370EA">
        <w:t>Contact</w:t>
      </w:r>
    </w:p>
    <w:p w14:paraId="1ABE184F" w14:textId="77777777" w:rsidR="007D11C7" w:rsidRPr="00CE689F" w:rsidRDefault="007D11C7" w:rsidP="00395444">
      <w:pPr>
        <w:rPr>
          <w:lang w:val="nl-BE"/>
        </w:rPr>
      </w:pPr>
      <w:r w:rsidRPr="00CE689F">
        <w:rPr>
          <w:lang w:val="nl-BE"/>
        </w:rPr>
        <w:t xml:space="preserve">De studie Jongeren en Gezondheid is te vinden op: </w:t>
      </w:r>
      <w:hyperlink r:id="rId12" w:history="1">
        <w:r w:rsidRPr="00CE689F">
          <w:rPr>
            <w:rStyle w:val="Hyperlink"/>
            <w:lang w:val="nl-BE"/>
          </w:rPr>
          <w:t>www.jongeren-en-gezondheid.ugent.be</w:t>
        </w:r>
      </w:hyperlink>
      <w:r w:rsidRPr="00CE689F">
        <w:rPr>
          <w:lang w:val="nl-BE"/>
        </w:rPr>
        <w:t>.</w:t>
      </w:r>
    </w:p>
    <w:p w14:paraId="09B745B3" w14:textId="77777777" w:rsidR="007D11C7" w:rsidRPr="00CE689F" w:rsidRDefault="007D11C7" w:rsidP="00395444"/>
    <w:p w14:paraId="56F9A3F1" w14:textId="77777777" w:rsidR="007D11C7" w:rsidRDefault="007D11C7" w:rsidP="00395444">
      <w:r>
        <w:t>De verantwoordelijke onderzoekers zijn Prof. Dr. Benedicte Deforche en Dr. Anne Hublet.</w:t>
      </w:r>
    </w:p>
    <w:p w14:paraId="42132C11" w14:textId="77777777" w:rsidR="007D11C7" w:rsidRDefault="007D11C7" w:rsidP="00395444">
      <w:r>
        <w:t>Contactpersoon: Bart De Clercq (b.declercq@ugent.be)</w:t>
      </w:r>
    </w:p>
    <w:p w14:paraId="748E6802" w14:textId="77777777" w:rsidR="007D11C7" w:rsidRDefault="007D11C7" w:rsidP="00395444">
      <w:r>
        <w:t>Medewerkers: Dr. Wendy Van Lippevelde, Thomas Buijs</w:t>
      </w:r>
    </w:p>
    <w:p w14:paraId="1638FAC8" w14:textId="77777777" w:rsidR="007D11C7" w:rsidRDefault="007D11C7" w:rsidP="00395444"/>
    <w:p w14:paraId="22F98D6B" w14:textId="77777777" w:rsidR="007D11C7" w:rsidRPr="00467FEB" w:rsidRDefault="007D11C7" w:rsidP="00C62D6A">
      <w:pPr>
        <w:keepNext/>
        <w:rPr>
          <w:lang w:val="nl-BE"/>
        </w:rPr>
      </w:pPr>
      <w:r w:rsidRPr="00467FEB">
        <w:rPr>
          <w:lang w:val="nl-BE"/>
        </w:rPr>
        <w:t>Adres:</w:t>
      </w:r>
    </w:p>
    <w:p w14:paraId="5AB315A4" w14:textId="77777777" w:rsidR="007D11C7" w:rsidRPr="00467FEB" w:rsidRDefault="007D11C7" w:rsidP="00395444">
      <w:pPr>
        <w:rPr>
          <w:lang w:val="nl-BE"/>
        </w:rPr>
      </w:pPr>
      <w:r w:rsidRPr="00467FEB">
        <w:rPr>
          <w:lang w:val="nl-BE"/>
        </w:rPr>
        <w:t>Universiteit Gent</w:t>
      </w:r>
    </w:p>
    <w:p w14:paraId="23521144" w14:textId="77777777" w:rsidR="007D11C7" w:rsidRPr="00467FEB" w:rsidRDefault="007D11C7" w:rsidP="00395444">
      <w:pPr>
        <w:rPr>
          <w:lang w:val="nl-BE"/>
        </w:rPr>
      </w:pPr>
      <w:r w:rsidRPr="00467FEB">
        <w:rPr>
          <w:lang w:val="nl-BE"/>
        </w:rPr>
        <w:t>Faculteit Geneeskunde en Gezondheidswetenschappen</w:t>
      </w:r>
    </w:p>
    <w:p w14:paraId="1E6D2BA2" w14:textId="77777777" w:rsidR="007D11C7" w:rsidRPr="00467FEB" w:rsidRDefault="007D11C7" w:rsidP="00395444">
      <w:pPr>
        <w:rPr>
          <w:lang w:val="nl-BE"/>
        </w:rPr>
      </w:pPr>
      <w:r w:rsidRPr="00467FEB">
        <w:rPr>
          <w:lang w:val="nl-BE"/>
        </w:rPr>
        <w:t>Vakgroep Maatschappelijke Gezondheidkunde</w:t>
      </w:r>
    </w:p>
    <w:p w14:paraId="5D2F95BB" w14:textId="77777777" w:rsidR="007D11C7" w:rsidRPr="00467FEB" w:rsidRDefault="007D11C7" w:rsidP="00395444">
      <w:pPr>
        <w:rPr>
          <w:lang w:val="nl-BE"/>
        </w:rPr>
      </w:pPr>
      <w:r w:rsidRPr="00467FEB">
        <w:rPr>
          <w:lang w:val="nl-BE"/>
        </w:rPr>
        <w:t>De Pintelaan 185, 4K3</w:t>
      </w:r>
    </w:p>
    <w:p w14:paraId="05900366" w14:textId="77777777" w:rsidR="007D11C7" w:rsidRPr="00467FEB" w:rsidRDefault="007D11C7" w:rsidP="00395444">
      <w:pPr>
        <w:rPr>
          <w:lang w:val="nl-BE"/>
        </w:rPr>
      </w:pPr>
      <w:r w:rsidRPr="00467FEB">
        <w:rPr>
          <w:lang w:val="nl-BE"/>
        </w:rPr>
        <w:t>9000 Gent</w:t>
      </w:r>
    </w:p>
    <w:p w14:paraId="00DF1914" w14:textId="77777777" w:rsidR="007D11C7" w:rsidRPr="00467FEB" w:rsidRDefault="007D11C7" w:rsidP="00395444">
      <w:pPr>
        <w:rPr>
          <w:lang w:val="nl-BE"/>
        </w:rPr>
      </w:pPr>
    </w:p>
    <w:p w14:paraId="09D1D083" w14:textId="77777777" w:rsidR="007D11C7" w:rsidRPr="00467FEB" w:rsidRDefault="007D11C7" w:rsidP="00395444">
      <w:pPr>
        <w:rPr>
          <w:lang w:val="nl-BE"/>
        </w:rPr>
      </w:pPr>
      <w:r w:rsidRPr="00467FEB">
        <w:rPr>
          <w:lang w:val="nl-BE"/>
        </w:rPr>
        <w:t>Tel: +32.</w:t>
      </w:r>
      <w:r w:rsidRPr="004B288B">
        <w:rPr>
          <w:lang w:val="nl-BE"/>
        </w:rPr>
        <w:t xml:space="preserve"> 9 332 36 18</w:t>
      </w:r>
    </w:p>
    <w:p w14:paraId="5138E691" w14:textId="77777777" w:rsidR="007D11C7" w:rsidRDefault="007D11C7" w:rsidP="00395444"/>
    <w:p w14:paraId="0EF217C4" w14:textId="77777777" w:rsidR="007D11C7" w:rsidRPr="00CE689F" w:rsidRDefault="007D11C7" w:rsidP="00395444"/>
    <w:p w14:paraId="78867625" w14:textId="77777777" w:rsidR="007D11C7" w:rsidRPr="00947098" w:rsidRDefault="007D11C7" w:rsidP="00395444">
      <w:r w:rsidRPr="00947098">
        <w:t>De internationale studie Health Behaviour in School-</w:t>
      </w:r>
      <w:proofErr w:type="spellStart"/>
      <w:r w:rsidRPr="00947098">
        <w:t>aged</w:t>
      </w:r>
      <w:proofErr w:type="spellEnd"/>
      <w:r w:rsidRPr="00947098">
        <w:t xml:space="preserve"> </w:t>
      </w:r>
      <w:proofErr w:type="spellStart"/>
      <w:r w:rsidRPr="00947098">
        <w:t>Children</w:t>
      </w:r>
      <w:proofErr w:type="spellEnd"/>
      <w:r w:rsidRPr="00947098">
        <w:t xml:space="preserve"> is te vinden op </w:t>
      </w:r>
      <w:hyperlink r:id="rId13" w:history="1">
        <w:r w:rsidRPr="00947098">
          <w:rPr>
            <w:rStyle w:val="Hyperlink"/>
          </w:rPr>
          <w:t>www.hbsc.org</w:t>
        </w:r>
      </w:hyperlink>
      <w:r w:rsidRPr="00947098">
        <w:t>.</w:t>
      </w:r>
    </w:p>
    <w:p w14:paraId="596F4F45" w14:textId="77777777" w:rsidR="007370EA" w:rsidRPr="00E96C1C" w:rsidRDefault="007370EA" w:rsidP="00395444">
      <w:pPr>
        <w:rPr>
          <w:lang w:val="nl-BE"/>
        </w:rPr>
      </w:pPr>
    </w:p>
    <w:p w14:paraId="1E40DE37" w14:textId="77777777" w:rsidR="007370EA" w:rsidRDefault="007370EA" w:rsidP="00395444">
      <w:pPr>
        <w:rPr>
          <w:lang w:val="nl-BE"/>
        </w:rPr>
      </w:pPr>
    </w:p>
    <w:p w14:paraId="399996C8" w14:textId="77777777" w:rsidR="007370EA" w:rsidRPr="00C70B23" w:rsidRDefault="007370EA" w:rsidP="00626518">
      <w:pPr>
        <w:pStyle w:val="Heading1"/>
      </w:pPr>
      <w:r w:rsidRPr="00C70B23">
        <w:t>Gebruikte afkortingen</w:t>
      </w:r>
    </w:p>
    <w:p w14:paraId="543A5657" w14:textId="70B253D1" w:rsidR="007370EA" w:rsidRDefault="00E81540" w:rsidP="00626518">
      <w:pPr>
        <w:ind w:left="709" w:hanging="709"/>
        <w:rPr>
          <w:lang w:val="nl-BE"/>
        </w:rPr>
      </w:pPr>
      <w:r w:rsidRPr="00E81540">
        <w:rPr>
          <w:b/>
          <w:lang w:val="nl-BE"/>
        </w:rPr>
        <w:t>c</w:t>
      </w:r>
      <w:r w:rsidR="00F57F2A" w:rsidRPr="00E81540">
        <w:rPr>
          <w:b/>
          <w:lang w:val="nl-BE"/>
        </w:rPr>
        <w:t>hi</w:t>
      </w:r>
      <w:r w:rsidR="00F57F2A">
        <w:rPr>
          <w:lang w:val="nl-BE"/>
        </w:rPr>
        <w:t>²:</w:t>
      </w:r>
      <w:r w:rsidR="00F57F2A">
        <w:rPr>
          <w:lang w:val="nl-BE"/>
        </w:rPr>
        <w:tab/>
        <w:t xml:space="preserve">Resultaat van </w:t>
      </w:r>
      <w:proofErr w:type="spellStart"/>
      <w:r w:rsidR="00F57F2A">
        <w:rPr>
          <w:lang w:val="nl-BE"/>
        </w:rPr>
        <w:t>chi</w:t>
      </w:r>
      <w:proofErr w:type="spellEnd"/>
      <w:r w:rsidR="00F57F2A">
        <w:rPr>
          <w:lang w:val="nl-BE"/>
        </w:rPr>
        <w:t>-kwadraat</w:t>
      </w:r>
      <w:r w:rsidR="007370EA">
        <w:rPr>
          <w:lang w:val="nl-BE"/>
        </w:rPr>
        <w:t>berekening voor kruistabel</w:t>
      </w:r>
    </w:p>
    <w:p w14:paraId="5D0F1FB8" w14:textId="77777777" w:rsidR="007370EA" w:rsidRDefault="007370EA" w:rsidP="00626518">
      <w:pPr>
        <w:ind w:left="709" w:hanging="709"/>
        <w:rPr>
          <w:lang w:val="nl-BE"/>
        </w:rPr>
      </w:pPr>
      <w:proofErr w:type="spellStart"/>
      <w:r w:rsidRPr="00E81540">
        <w:rPr>
          <w:b/>
          <w:lang w:val="nl-BE"/>
        </w:rPr>
        <w:t>df</w:t>
      </w:r>
      <w:proofErr w:type="spellEnd"/>
      <w:r>
        <w:rPr>
          <w:lang w:val="nl-BE"/>
        </w:rPr>
        <w:t xml:space="preserve">: </w:t>
      </w:r>
      <w:r>
        <w:rPr>
          <w:lang w:val="nl-BE"/>
        </w:rPr>
        <w:tab/>
      </w:r>
      <w:proofErr w:type="spellStart"/>
      <w:r>
        <w:rPr>
          <w:lang w:val="nl-BE"/>
        </w:rPr>
        <w:t>degrees</w:t>
      </w:r>
      <w:proofErr w:type="spellEnd"/>
      <w:r>
        <w:rPr>
          <w:lang w:val="nl-BE"/>
        </w:rPr>
        <w:t xml:space="preserve"> of </w:t>
      </w:r>
      <w:proofErr w:type="spellStart"/>
      <w:r>
        <w:rPr>
          <w:lang w:val="nl-BE"/>
        </w:rPr>
        <w:t>freedom</w:t>
      </w:r>
      <w:proofErr w:type="spellEnd"/>
      <w:r>
        <w:rPr>
          <w:lang w:val="nl-BE"/>
        </w:rPr>
        <w:t>: vrijheidsgraden</w:t>
      </w:r>
    </w:p>
    <w:p w14:paraId="2840C710" w14:textId="77777777" w:rsidR="007370EA" w:rsidRDefault="007370EA" w:rsidP="00626518">
      <w:pPr>
        <w:ind w:left="709" w:hanging="709"/>
        <w:rPr>
          <w:lang w:val="nl-BE"/>
        </w:rPr>
      </w:pPr>
      <w:r w:rsidRPr="00E81540">
        <w:rPr>
          <w:b/>
          <w:lang w:val="nl-BE"/>
        </w:rPr>
        <w:t>p</w:t>
      </w:r>
      <w:r>
        <w:rPr>
          <w:lang w:val="nl-BE"/>
        </w:rPr>
        <w:t xml:space="preserve">: </w:t>
      </w:r>
      <w:r>
        <w:rPr>
          <w:lang w:val="nl-BE"/>
        </w:rPr>
        <w:tab/>
      </w:r>
      <w:proofErr w:type="spellStart"/>
      <w:r>
        <w:rPr>
          <w:lang w:val="nl-BE"/>
        </w:rPr>
        <w:t>probaliteit</w:t>
      </w:r>
      <w:proofErr w:type="spellEnd"/>
      <w:r>
        <w:rPr>
          <w:lang w:val="nl-BE"/>
        </w:rPr>
        <w:t>: resultaat van statistische test : kleiner dan 0,05 wordt als statistisch significant beschouwd</w:t>
      </w:r>
    </w:p>
    <w:p w14:paraId="2EF02148" w14:textId="77777777" w:rsidR="007370EA" w:rsidRPr="006C6039" w:rsidRDefault="007370EA" w:rsidP="00395444"/>
    <w:p w14:paraId="4D39A0B2" w14:textId="77777777" w:rsidR="00490C35" w:rsidRPr="00565318" w:rsidRDefault="00490C35" w:rsidP="00395444">
      <w:pPr>
        <w:rPr>
          <w:lang w:val="nl-BE"/>
        </w:rPr>
      </w:pPr>
    </w:p>
    <w:sectPr w:rsidR="00490C35" w:rsidRPr="00565318" w:rsidSect="006732A9">
      <w:headerReference w:type="default" r:id="rId14"/>
      <w:footerReference w:type="default" r:id="rId15"/>
      <w:pgSz w:w="11906" w:h="16838"/>
      <w:pgMar w:top="1702"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B8A7E" w14:textId="77777777" w:rsidR="00BF4D5F" w:rsidRDefault="00BF4D5F" w:rsidP="00395444">
      <w:r>
        <w:separator/>
      </w:r>
    </w:p>
    <w:p w14:paraId="0D7CDAEB" w14:textId="77777777" w:rsidR="00BF4D5F" w:rsidRDefault="00BF4D5F" w:rsidP="00395444"/>
  </w:endnote>
  <w:endnote w:type="continuationSeparator" w:id="0">
    <w:p w14:paraId="03B79215" w14:textId="77777777" w:rsidR="00BF4D5F" w:rsidRDefault="00BF4D5F" w:rsidP="00395444">
      <w:r>
        <w:continuationSeparator/>
      </w:r>
    </w:p>
    <w:p w14:paraId="346BF05E" w14:textId="77777777" w:rsidR="00BF4D5F" w:rsidRDefault="00BF4D5F" w:rsidP="00395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60CD" w14:textId="1F263299" w:rsidR="009F5087" w:rsidRPr="006732A9" w:rsidRDefault="006732A9" w:rsidP="00395444">
    <w:pPr>
      <w:rPr>
        <w:lang w:val="en-US"/>
      </w:rPr>
    </w:pPr>
    <w:r>
      <w:rPr>
        <w:sz w:val="16"/>
        <w:szCs w:val="16"/>
        <w:lang w:val="en-US"/>
      </w:rPr>
      <w:t>HBSC 2014</w:t>
    </w:r>
    <w:r w:rsidRPr="006732A9">
      <w:rPr>
        <w:sz w:val="16"/>
        <w:szCs w:val="16"/>
        <w:lang w:val="en-US"/>
      </w:rPr>
      <w:ptab w:relativeTo="margin" w:alignment="center" w:leader="none"/>
    </w:r>
    <w:r>
      <w:rPr>
        <w:sz w:val="16"/>
        <w:szCs w:val="16"/>
        <w:lang w:val="en-US"/>
      </w:rPr>
      <w:t>Cannabis</w:t>
    </w:r>
    <w:r w:rsidRPr="006732A9">
      <w:rPr>
        <w:sz w:val="16"/>
        <w:szCs w:val="16"/>
        <w:lang w:val="en-US"/>
      </w:rPr>
      <w:ptab w:relativeTo="margin" w:alignment="right" w:leader="none"/>
    </w:r>
    <w:r>
      <w:rPr>
        <w:sz w:val="16"/>
        <w:szCs w:val="16"/>
        <w:lang w:val="en-US"/>
      </w:rPr>
      <w:fldChar w:fldCharType="begin"/>
    </w:r>
    <w:r>
      <w:rPr>
        <w:sz w:val="16"/>
        <w:szCs w:val="16"/>
        <w:lang w:val="en-US"/>
      </w:rPr>
      <w:instrText xml:space="preserve"> PAGE  \* Arabic  \* MERGEFORMAT </w:instrText>
    </w:r>
    <w:r>
      <w:rPr>
        <w:sz w:val="16"/>
        <w:szCs w:val="16"/>
        <w:lang w:val="en-US"/>
      </w:rPr>
      <w:fldChar w:fldCharType="separate"/>
    </w:r>
    <w:r>
      <w:rPr>
        <w:noProof/>
        <w:sz w:val="16"/>
        <w:szCs w:val="16"/>
        <w:lang w:val="en-US"/>
      </w:rPr>
      <w:t>1</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14056" w14:textId="77777777" w:rsidR="00BF4D5F" w:rsidRDefault="00BF4D5F" w:rsidP="00395444">
      <w:r>
        <w:separator/>
      </w:r>
    </w:p>
    <w:p w14:paraId="7F6E32A7" w14:textId="77777777" w:rsidR="00BF4D5F" w:rsidRDefault="00BF4D5F" w:rsidP="00395444"/>
  </w:footnote>
  <w:footnote w:type="continuationSeparator" w:id="0">
    <w:p w14:paraId="51634300" w14:textId="77777777" w:rsidR="00BF4D5F" w:rsidRDefault="00BF4D5F" w:rsidP="00395444">
      <w:r>
        <w:continuationSeparator/>
      </w:r>
    </w:p>
    <w:p w14:paraId="680E49A3" w14:textId="77777777" w:rsidR="00BF4D5F" w:rsidRDefault="00BF4D5F" w:rsidP="00395444"/>
  </w:footnote>
  <w:footnote w:id="1">
    <w:p w14:paraId="163D2331" w14:textId="77777777" w:rsidR="008C1F21" w:rsidRPr="00CC0C29" w:rsidRDefault="008C1F21" w:rsidP="00CC0C29">
      <w:pPr>
        <w:pStyle w:val="Footer"/>
      </w:pPr>
      <w:r w:rsidRPr="00CC0C29">
        <w:rPr>
          <w:rStyle w:val="FootnoteReference"/>
        </w:rPr>
        <w:footnoteRef/>
      </w:r>
      <w:r w:rsidRPr="00CC0C29">
        <w:t xml:space="preserve"> </w:t>
      </w:r>
      <w:proofErr w:type="spellStart"/>
      <w:r w:rsidRPr="00CC0C29">
        <w:t>MacCoun</w:t>
      </w:r>
      <w:proofErr w:type="spellEnd"/>
      <w:r w:rsidRPr="00CC0C29">
        <w:t xml:space="preserve"> RJ. Drugs and the law: a psychological analysis of drug prohibition. Psychological Bulletin 1993, 113: 497-512.</w:t>
      </w:r>
    </w:p>
  </w:footnote>
  <w:footnote w:id="2">
    <w:p w14:paraId="427BC98B" w14:textId="77777777" w:rsidR="008C1F21" w:rsidRPr="00CC0C29" w:rsidRDefault="008C1F21" w:rsidP="00CC0C29">
      <w:pPr>
        <w:pStyle w:val="Footer"/>
      </w:pPr>
      <w:r w:rsidRPr="00CC0C29">
        <w:rPr>
          <w:rStyle w:val="FootnoteReference"/>
        </w:rPr>
        <w:footnoteRef/>
      </w:r>
      <w:r w:rsidRPr="00CC0C29">
        <w:t xml:space="preserve"> Rey J. M., Sawyer M., Raphael B., Patton G. C., </w:t>
      </w:r>
      <w:proofErr w:type="spellStart"/>
      <w:r w:rsidRPr="00CC0C29">
        <w:t>Lynskey</w:t>
      </w:r>
      <w:proofErr w:type="spellEnd"/>
      <w:r w:rsidRPr="00CC0C29">
        <w:t xml:space="preserve"> M. Mental health of teenagers who use cannabis. </w:t>
      </w:r>
      <w:r w:rsidRPr="00CC0C29">
        <w:rPr>
          <w:iCs/>
        </w:rPr>
        <w:t xml:space="preserve">Br J Psychiatry </w:t>
      </w:r>
      <w:r w:rsidRPr="00CC0C29">
        <w:t xml:space="preserve">2002; </w:t>
      </w:r>
      <w:r w:rsidRPr="00CC0C29">
        <w:rPr>
          <w:bCs/>
        </w:rPr>
        <w:t>180</w:t>
      </w:r>
      <w:r w:rsidRPr="00CC0C29">
        <w:t>: 216–21.</w:t>
      </w:r>
    </w:p>
  </w:footnote>
  <w:footnote w:id="3">
    <w:p w14:paraId="21EFC2EC" w14:textId="77777777" w:rsidR="008C1F21" w:rsidRPr="00CC0C29" w:rsidRDefault="008C1F21" w:rsidP="00CC0C29">
      <w:pPr>
        <w:pStyle w:val="Footer"/>
      </w:pPr>
      <w:r w:rsidRPr="00CC0C29">
        <w:rPr>
          <w:rStyle w:val="FootnoteReference"/>
        </w:rPr>
        <w:footnoteRef/>
      </w:r>
      <w:r w:rsidRPr="00CC0C29">
        <w:t xml:space="preserve"> Fergusson DM, Boden JM. Cannabis use and later life outcomes. Addiction 103, 969-976, 2008.</w:t>
      </w:r>
    </w:p>
  </w:footnote>
  <w:footnote w:id="4">
    <w:p w14:paraId="0615A105" w14:textId="77777777" w:rsidR="00C64460" w:rsidRPr="00CC0C29" w:rsidRDefault="00C64460" w:rsidP="00CC0C29">
      <w:pPr>
        <w:pStyle w:val="Footer"/>
      </w:pPr>
      <w:r w:rsidRPr="00CC0C29">
        <w:footnoteRef/>
      </w:r>
      <w:r w:rsidRPr="00CC0C29">
        <w:t xml:space="preserve"> Moore, T. et al. (2007).Cannabis use and risk of psychotic or affective mental health outcomes: a systematic</w:t>
      </w:r>
    </w:p>
    <w:p w14:paraId="49DA1674" w14:textId="2A268E2A" w:rsidR="00C64460" w:rsidRPr="00B02862" w:rsidRDefault="00C64460" w:rsidP="00CC0C29">
      <w:pPr>
        <w:pStyle w:val="NormalWeb"/>
        <w:spacing w:before="0" w:beforeAutospacing="0" w:after="0" w:afterAutospacing="0"/>
      </w:pPr>
      <w:r w:rsidRPr="00CC0C29">
        <w:rPr>
          <w:sz w:val="16"/>
          <w:szCs w:val="16"/>
        </w:rPr>
        <w:t xml:space="preserve">review. Lancet, 370(9584), 319-328.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C2CCA" w14:textId="2BDFC814" w:rsidR="009F5087" w:rsidRDefault="006732A9" w:rsidP="00395444">
    <w:r>
      <w:rPr>
        <w:noProof/>
        <w:lang w:val="nl-BE" w:eastAsia="nl-BE"/>
      </w:rPr>
      <w:drawing>
        <wp:anchor distT="0" distB="0" distL="114300" distR="114300" simplePos="0" relativeHeight="251658240" behindDoc="0" locked="0" layoutInCell="1" allowOverlap="1" wp14:anchorId="3CF9A683" wp14:editId="0A8299F9">
          <wp:simplePos x="0" y="0"/>
          <wp:positionH relativeFrom="column">
            <wp:posOffset>-899795</wp:posOffset>
          </wp:positionH>
          <wp:positionV relativeFrom="paragraph">
            <wp:posOffset>-495935</wp:posOffset>
          </wp:positionV>
          <wp:extent cx="7536180" cy="1112520"/>
          <wp:effectExtent l="0" t="0" r="7620" b="0"/>
          <wp:wrapNone/>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36180" cy="1112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7103"/>
    <w:multiLevelType w:val="hybridMultilevel"/>
    <w:tmpl w:val="A0E04C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59C3CA2"/>
    <w:multiLevelType w:val="hybridMultilevel"/>
    <w:tmpl w:val="D0BEA32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18"/>
    <w:rsid w:val="0000403B"/>
    <w:rsid w:val="00054167"/>
    <w:rsid w:val="00057EAA"/>
    <w:rsid w:val="000642AB"/>
    <w:rsid w:val="0007767E"/>
    <w:rsid w:val="000A2F2F"/>
    <w:rsid w:val="000B415F"/>
    <w:rsid w:val="000F7AC9"/>
    <w:rsid w:val="00104045"/>
    <w:rsid w:val="001E5693"/>
    <w:rsid w:val="00237B54"/>
    <w:rsid w:val="00282A72"/>
    <w:rsid w:val="002951A7"/>
    <w:rsid w:val="002C1BA5"/>
    <w:rsid w:val="0038750B"/>
    <w:rsid w:val="00395444"/>
    <w:rsid w:val="003C53F6"/>
    <w:rsid w:val="003E290D"/>
    <w:rsid w:val="0046341F"/>
    <w:rsid w:val="00475929"/>
    <w:rsid w:val="00490C35"/>
    <w:rsid w:val="0051318B"/>
    <w:rsid w:val="00523F88"/>
    <w:rsid w:val="0055677D"/>
    <w:rsid w:val="00565318"/>
    <w:rsid w:val="00572BD5"/>
    <w:rsid w:val="00590B8B"/>
    <w:rsid w:val="005C749C"/>
    <w:rsid w:val="005E250A"/>
    <w:rsid w:val="00610FBC"/>
    <w:rsid w:val="00626518"/>
    <w:rsid w:val="006732A9"/>
    <w:rsid w:val="006E207D"/>
    <w:rsid w:val="0072579A"/>
    <w:rsid w:val="007370EA"/>
    <w:rsid w:val="00746F57"/>
    <w:rsid w:val="0079488F"/>
    <w:rsid w:val="007D11C7"/>
    <w:rsid w:val="0089314C"/>
    <w:rsid w:val="008C1F21"/>
    <w:rsid w:val="00903CFC"/>
    <w:rsid w:val="00963D73"/>
    <w:rsid w:val="00996E66"/>
    <w:rsid w:val="009F5087"/>
    <w:rsid w:val="00A42C29"/>
    <w:rsid w:val="00A435D3"/>
    <w:rsid w:val="00AA51B2"/>
    <w:rsid w:val="00AC5D36"/>
    <w:rsid w:val="00BC1E9A"/>
    <w:rsid w:val="00BD5CD1"/>
    <w:rsid w:val="00BE1605"/>
    <w:rsid w:val="00BF4D5F"/>
    <w:rsid w:val="00C2640E"/>
    <w:rsid w:val="00C4121E"/>
    <w:rsid w:val="00C62D6A"/>
    <w:rsid w:val="00C64460"/>
    <w:rsid w:val="00CB3D92"/>
    <w:rsid w:val="00CC0C29"/>
    <w:rsid w:val="00CD4FBC"/>
    <w:rsid w:val="00D53E85"/>
    <w:rsid w:val="00D64B01"/>
    <w:rsid w:val="00E026E3"/>
    <w:rsid w:val="00E32FDC"/>
    <w:rsid w:val="00E62343"/>
    <w:rsid w:val="00E81540"/>
    <w:rsid w:val="00E96C1C"/>
    <w:rsid w:val="00EE64B7"/>
    <w:rsid w:val="00EF0FE2"/>
    <w:rsid w:val="00EF3AF7"/>
    <w:rsid w:val="00F57F2A"/>
    <w:rsid w:val="00F968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B8BC5"/>
  <w15:docId w15:val="{DEA105FB-6DC9-47E1-A868-01BCD84A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44"/>
    <w:pPr>
      <w:jc w:val="both"/>
    </w:pPr>
    <w:rPr>
      <w:rFonts w:ascii="Verdana" w:hAnsi="Verdana" w:cs="Arial"/>
      <w:sz w:val="22"/>
      <w:szCs w:val="22"/>
      <w:lang w:val="nl-NL" w:eastAsia="nl-NL"/>
    </w:rPr>
  </w:style>
  <w:style w:type="paragraph" w:styleId="Heading1">
    <w:name w:val="heading 1"/>
    <w:basedOn w:val="Normal"/>
    <w:next w:val="Normal"/>
    <w:link w:val="Heading1Char"/>
    <w:qFormat/>
    <w:rsid w:val="00395444"/>
    <w:pPr>
      <w:keepNext/>
      <w:pBdr>
        <w:top w:val="single" w:sz="4" w:space="1" w:color="auto"/>
        <w:left w:val="single" w:sz="4" w:space="4" w:color="auto"/>
        <w:bottom w:val="single" w:sz="4" w:space="1" w:color="auto"/>
        <w:right w:val="single" w:sz="4" w:space="4" w:color="auto"/>
      </w:pBdr>
      <w:shd w:val="clear" w:color="auto" w:fill="FFCC00"/>
      <w:spacing w:before="240" w:after="240"/>
      <w:outlineLvl w:val="0"/>
    </w:pPr>
    <w:rPr>
      <w:b/>
      <w:color w:val="333333"/>
      <w:kern w:val="32"/>
    </w:rPr>
  </w:style>
  <w:style w:type="paragraph" w:styleId="Heading2">
    <w:name w:val="heading 2"/>
    <w:basedOn w:val="Normal"/>
    <w:next w:val="Normal"/>
    <w:qFormat/>
    <w:rsid w:val="00626518"/>
    <w:pPr>
      <w:keepNext/>
      <w:pBdr>
        <w:top w:val="single" w:sz="4" w:space="1" w:color="auto"/>
        <w:left w:val="single" w:sz="4" w:space="4" w:color="auto"/>
        <w:bottom w:val="single" w:sz="4" w:space="1" w:color="auto"/>
        <w:right w:val="single" w:sz="4" w:space="4" w:color="auto"/>
      </w:pBdr>
      <w:shd w:val="clear" w:color="auto" w:fill="D9D9D9"/>
      <w:spacing w:before="120" w:after="120"/>
      <w:jc w:val="left"/>
      <w:outlineLvl w:val="1"/>
    </w:pPr>
    <w:rPr>
      <w:b/>
      <w:iCs/>
      <w:szCs w:val="20"/>
    </w:rPr>
  </w:style>
  <w:style w:type="paragraph" w:styleId="Heading3">
    <w:name w:val="heading 3"/>
    <w:basedOn w:val="Normal"/>
    <w:next w:val="Normal"/>
    <w:qFormat/>
    <w:rsid w:val="00565318"/>
    <w:pPr>
      <w:keepNext/>
      <w:pBdr>
        <w:top w:val="single" w:sz="4" w:space="1" w:color="auto"/>
        <w:left w:val="single" w:sz="4" w:space="4" w:color="auto"/>
        <w:bottom w:val="single" w:sz="4" w:space="1" w:color="auto"/>
        <w:right w:val="single" w:sz="4" w:space="4" w:color="auto"/>
      </w:pBdr>
      <w:shd w:val="clear" w:color="auto" w:fill="FFCC00"/>
      <w:spacing w:after="120"/>
      <w:outlineLvl w:val="2"/>
    </w:pPr>
    <w:rPr>
      <w:rFonts w:ascii="Arial" w:hAnsi="Arial"/>
      <w:b/>
    </w:rPr>
  </w:style>
  <w:style w:type="paragraph" w:styleId="Heading4">
    <w:name w:val="heading 4"/>
    <w:basedOn w:val="Normal"/>
    <w:next w:val="Normal"/>
    <w:qFormat/>
    <w:rsid w:val="0056531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65318"/>
    <w:rPr>
      <w:sz w:val="20"/>
      <w:szCs w:val="20"/>
    </w:rPr>
  </w:style>
  <w:style w:type="character" w:styleId="FootnoteReference">
    <w:name w:val="footnote reference"/>
    <w:basedOn w:val="DefaultParagraphFont"/>
    <w:semiHidden/>
    <w:rsid w:val="00565318"/>
    <w:rPr>
      <w:vertAlign w:val="superscript"/>
    </w:rPr>
  </w:style>
  <w:style w:type="character" w:styleId="Hyperlink">
    <w:name w:val="Hyperlink"/>
    <w:basedOn w:val="DefaultParagraphFont"/>
    <w:rsid w:val="00565318"/>
    <w:rPr>
      <w:color w:val="0000FF"/>
      <w:u w:val="single"/>
    </w:rPr>
  </w:style>
  <w:style w:type="paragraph" w:styleId="Header">
    <w:name w:val="header"/>
    <w:basedOn w:val="Normal"/>
    <w:rsid w:val="007370EA"/>
    <w:pPr>
      <w:tabs>
        <w:tab w:val="center" w:pos="4536"/>
        <w:tab w:val="right" w:pos="9072"/>
      </w:tabs>
    </w:pPr>
  </w:style>
  <w:style w:type="paragraph" w:styleId="Footer">
    <w:name w:val="footer"/>
    <w:basedOn w:val="Normal"/>
    <w:link w:val="FooterChar"/>
    <w:uiPriority w:val="99"/>
    <w:rsid w:val="00CC0C29"/>
    <w:rPr>
      <w:sz w:val="16"/>
      <w:szCs w:val="16"/>
      <w:lang w:val="en-US"/>
    </w:rPr>
  </w:style>
  <w:style w:type="character" w:styleId="PageNumber">
    <w:name w:val="page number"/>
    <w:basedOn w:val="DefaultParagraphFont"/>
    <w:rsid w:val="007370EA"/>
  </w:style>
  <w:style w:type="paragraph" w:styleId="Caption">
    <w:name w:val="caption"/>
    <w:basedOn w:val="Normal"/>
    <w:next w:val="Normal"/>
    <w:unhideWhenUsed/>
    <w:qFormat/>
    <w:rsid w:val="00C62D6A"/>
    <w:pPr>
      <w:keepNext/>
      <w:spacing w:after="200"/>
      <w:jc w:val="center"/>
    </w:pPr>
    <w:rPr>
      <w:rFonts w:ascii="Arial" w:hAnsi="Arial"/>
      <w:b/>
      <w:iCs/>
      <w:sz w:val="18"/>
      <w:szCs w:val="18"/>
      <w:lang w:val="nl-BE"/>
    </w:rPr>
  </w:style>
  <w:style w:type="character" w:customStyle="1" w:styleId="FooterChar">
    <w:name w:val="Footer Char"/>
    <w:basedOn w:val="DefaultParagraphFont"/>
    <w:link w:val="Footer"/>
    <w:uiPriority w:val="99"/>
    <w:rsid w:val="00CC0C29"/>
    <w:rPr>
      <w:rFonts w:ascii="Verdana" w:hAnsi="Verdana" w:cs="Arial"/>
      <w:sz w:val="16"/>
      <w:szCs w:val="16"/>
      <w:lang w:val="en-US" w:eastAsia="nl-NL"/>
    </w:rPr>
  </w:style>
  <w:style w:type="character" w:styleId="CommentReference">
    <w:name w:val="annotation reference"/>
    <w:basedOn w:val="DefaultParagraphFont"/>
    <w:rsid w:val="00EF0FE2"/>
    <w:rPr>
      <w:sz w:val="16"/>
      <w:szCs w:val="16"/>
    </w:rPr>
  </w:style>
  <w:style w:type="paragraph" w:styleId="CommentText">
    <w:name w:val="annotation text"/>
    <w:basedOn w:val="Normal"/>
    <w:link w:val="CommentTextChar"/>
    <w:rsid w:val="00EF0FE2"/>
    <w:rPr>
      <w:sz w:val="20"/>
      <w:szCs w:val="20"/>
    </w:rPr>
  </w:style>
  <w:style w:type="character" w:customStyle="1" w:styleId="CommentTextChar">
    <w:name w:val="Comment Text Char"/>
    <w:basedOn w:val="DefaultParagraphFont"/>
    <w:link w:val="CommentText"/>
    <w:rsid w:val="00EF0FE2"/>
    <w:rPr>
      <w:lang w:val="en-GB" w:eastAsia="nl-NL"/>
    </w:rPr>
  </w:style>
  <w:style w:type="paragraph" w:styleId="CommentSubject">
    <w:name w:val="annotation subject"/>
    <w:basedOn w:val="CommentText"/>
    <w:next w:val="CommentText"/>
    <w:link w:val="CommentSubjectChar"/>
    <w:rsid w:val="00EF0FE2"/>
    <w:rPr>
      <w:b/>
      <w:bCs/>
    </w:rPr>
  </w:style>
  <w:style w:type="character" w:customStyle="1" w:styleId="CommentSubjectChar">
    <w:name w:val="Comment Subject Char"/>
    <w:basedOn w:val="CommentTextChar"/>
    <w:link w:val="CommentSubject"/>
    <w:rsid w:val="00EF0FE2"/>
    <w:rPr>
      <w:b/>
      <w:bCs/>
      <w:lang w:val="en-GB" w:eastAsia="nl-NL"/>
    </w:rPr>
  </w:style>
  <w:style w:type="paragraph" w:styleId="BalloonText">
    <w:name w:val="Balloon Text"/>
    <w:basedOn w:val="Normal"/>
    <w:link w:val="BalloonTextChar"/>
    <w:rsid w:val="00EF0FE2"/>
    <w:rPr>
      <w:rFonts w:ascii="Segoe UI" w:hAnsi="Segoe UI" w:cs="Segoe UI"/>
      <w:sz w:val="18"/>
      <w:szCs w:val="18"/>
    </w:rPr>
  </w:style>
  <w:style w:type="character" w:customStyle="1" w:styleId="BalloonTextChar">
    <w:name w:val="Balloon Text Char"/>
    <w:basedOn w:val="DefaultParagraphFont"/>
    <w:link w:val="BalloonText"/>
    <w:rsid w:val="00EF0FE2"/>
    <w:rPr>
      <w:rFonts w:ascii="Segoe UI" w:hAnsi="Segoe UI" w:cs="Segoe UI"/>
      <w:sz w:val="18"/>
      <w:szCs w:val="18"/>
      <w:lang w:val="en-GB" w:eastAsia="nl-NL"/>
    </w:rPr>
  </w:style>
  <w:style w:type="table" w:styleId="TableGridLight">
    <w:name w:val="Grid Table Light"/>
    <w:basedOn w:val="TableNormal"/>
    <w:uiPriority w:val="40"/>
    <w:rsid w:val="00C644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64460"/>
    <w:pPr>
      <w:spacing w:before="100" w:beforeAutospacing="1" w:after="100" w:afterAutospacing="1"/>
    </w:pPr>
    <w:rPr>
      <w:rFonts w:eastAsiaTheme="minorHAnsi"/>
      <w:lang w:val="nl-BE" w:eastAsia="nl-BE"/>
    </w:rPr>
  </w:style>
  <w:style w:type="table" w:styleId="TableGrid">
    <w:name w:val="Table Grid"/>
    <w:basedOn w:val="TableNormal"/>
    <w:rsid w:val="00C6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644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395444"/>
    <w:pPr>
      <w:pBdr>
        <w:top w:val="single" w:sz="4" w:space="1" w:color="auto"/>
        <w:left w:val="single" w:sz="4" w:space="4" w:color="auto"/>
        <w:bottom w:val="single" w:sz="4" w:space="1" w:color="auto"/>
        <w:right w:val="single" w:sz="4" w:space="4" w:color="auto"/>
      </w:pBdr>
      <w:shd w:val="clear" w:color="auto" w:fill="99CCFF"/>
      <w:jc w:val="center"/>
    </w:pPr>
    <w:rPr>
      <w:sz w:val="32"/>
      <w:szCs w:val="32"/>
    </w:rPr>
  </w:style>
  <w:style w:type="character" w:customStyle="1" w:styleId="TitleChar">
    <w:name w:val="Title Char"/>
    <w:basedOn w:val="DefaultParagraphFont"/>
    <w:link w:val="Title"/>
    <w:rsid w:val="00395444"/>
    <w:rPr>
      <w:rFonts w:ascii="Verdana" w:hAnsi="Verdana" w:cs="Arial"/>
      <w:sz w:val="32"/>
      <w:szCs w:val="32"/>
      <w:shd w:val="clear" w:color="auto" w:fill="99CCFF"/>
      <w:lang w:val="nl-NL" w:eastAsia="nl-NL"/>
    </w:rPr>
  </w:style>
  <w:style w:type="character" w:customStyle="1" w:styleId="Heading1Char">
    <w:name w:val="Heading 1 Char"/>
    <w:basedOn w:val="DefaultParagraphFont"/>
    <w:link w:val="Heading1"/>
    <w:rsid w:val="00395444"/>
    <w:rPr>
      <w:rFonts w:ascii="Verdana" w:hAnsi="Verdana" w:cs="Arial"/>
      <w:b/>
      <w:color w:val="333333"/>
      <w:kern w:val="32"/>
      <w:sz w:val="22"/>
      <w:szCs w:val="22"/>
      <w:shd w:val="clear" w:color="auto" w:fill="FFCC00"/>
      <w:lang w:val="nl-NL" w:eastAsia="nl-NL"/>
    </w:rPr>
  </w:style>
  <w:style w:type="paragraph" w:styleId="ListParagraph">
    <w:name w:val="List Paragraph"/>
    <w:basedOn w:val="Normal"/>
    <w:uiPriority w:val="34"/>
    <w:qFormat/>
    <w:rsid w:val="0039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geren-en-gezondheid.ugent.be" TargetMode="External"/><Relationship Id="rId13" Type="http://schemas.openxmlformats.org/officeDocument/2006/relationships/hyperlink" Target="http://www.hb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ngeren-en-gezondheid.ugen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c:f>
              <c:strCache>
                <c:ptCount val="1"/>
                <c:pt idx="0">
                  <c:v>2006</c:v>
                </c:pt>
              </c:strCache>
            </c:strRef>
          </c:tx>
          <c:invertIfNegative val="0"/>
          <c:dLbls>
            <c:spPr>
              <a:noFill/>
              <a:ln w="25155">
                <a:noFill/>
              </a:ln>
            </c:spPr>
            <c:txPr>
              <a:bodyPr wrap="square" lIns="38100" tIns="19050" rIns="38100" bIns="19050" anchor="ctr">
                <a:spAutoFit/>
              </a:bodyPr>
              <a:lstStyle/>
              <a:p>
                <a:pPr>
                  <a:defRPr sz="900">
                    <a:solidFill>
                      <a:schemeClr val="tx1">
                        <a:lumMod val="65000"/>
                        <a:lumOff val="35000"/>
                      </a:schemeClr>
                    </a:solidFil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Sheet1!$B$2:$G$3</c:f>
              <c:multiLvlStrCache>
                <c:ptCount val="6"/>
                <c:lvl>
                  <c:pt idx="0">
                    <c:v>13-14</c:v>
                  </c:pt>
                  <c:pt idx="1">
                    <c:v>15-16</c:v>
                  </c:pt>
                  <c:pt idx="2">
                    <c:v>17-18</c:v>
                  </c:pt>
                  <c:pt idx="3">
                    <c:v>13-14</c:v>
                  </c:pt>
                  <c:pt idx="4">
                    <c:v>15-16</c:v>
                  </c:pt>
                  <c:pt idx="5">
                    <c:v>17-18</c:v>
                  </c:pt>
                </c:lvl>
                <c:lvl>
                  <c:pt idx="0">
                    <c:v>Jongens</c:v>
                  </c:pt>
                  <c:pt idx="3">
                    <c:v>Meisjes</c:v>
                  </c:pt>
                </c:lvl>
              </c:multiLvlStrCache>
            </c:multiLvlStrRef>
          </c:cat>
          <c:val>
            <c:numRef>
              <c:f>Sheet1!$B$4:$G$4</c:f>
              <c:numCache>
                <c:formatCode>General</c:formatCode>
                <c:ptCount val="6"/>
                <c:pt idx="0">
                  <c:v>4</c:v>
                </c:pt>
                <c:pt idx="1">
                  <c:v>23</c:v>
                </c:pt>
                <c:pt idx="2">
                  <c:v>46</c:v>
                </c:pt>
                <c:pt idx="3">
                  <c:v>3</c:v>
                </c:pt>
                <c:pt idx="4">
                  <c:v>15</c:v>
                </c:pt>
                <c:pt idx="5">
                  <c:v>31</c:v>
                </c:pt>
              </c:numCache>
            </c:numRef>
          </c:val>
        </c:ser>
        <c:ser>
          <c:idx val="1"/>
          <c:order val="1"/>
          <c:tx>
            <c:strRef>
              <c:f>Sheet1!$A$5</c:f>
              <c:strCache>
                <c:ptCount val="1"/>
                <c:pt idx="0">
                  <c:v>2010</c:v>
                </c:pt>
              </c:strCache>
            </c:strRef>
          </c:tx>
          <c:spPr>
            <a:solidFill>
              <a:srgbClr val="92D050"/>
            </a:solidFill>
          </c:spPr>
          <c:invertIfNegative val="0"/>
          <c:dLbls>
            <c:spPr>
              <a:noFill/>
              <a:ln w="25155">
                <a:noFill/>
              </a:ln>
            </c:spPr>
            <c:txPr>
              <a:bodyPr wrap="square" lIns="38100" tIns="19050" rIns="38100" bIns="19050" anchor="ctr">
                <a:spAutoFit/>
              </a:bodyPr>
              <a:lstStyle/>
              <a:p>
                <a:pPr>
                  <a:defRPr sz="900">
                    <a:solidFill>
                      <a:schemeClr val="tx1">
                        <a:lumMod val="65000"/>
                        <a:lumOff val="35000"/>
                      </a:schemeClr>
                    </a:solidFil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Sheet1!$B$2:$G$3</c:f>
              <c:multiLvlStrCache>
                <c:ptCount val="6"/>
                <c:lvl>
                  <c:pt idx="0">
                    <c:v>13-14</c:v>
                  </c:pt>
                  <c:pt idx="1">
                    <c:v>15-16</c:v>
                  </c:pt>
                  <c:pt idx="2">
                    <c:v>17-18</c:v>
                  </c:pt>
                  <c:pt idx="3">
                    <c:v>13-14</c:v>
                  </c:pt>
                  <c:pt idx="4">
                    <c:v>15-16</c:v>
                  </c:pt>
                  <c:pt idx="5">
                    <c:v>17-18</c:v>
                  </c:pt>
                </c:lvl>
                <c:lvl>
                  <c:pt idx="0">
                    <c:v>Jongens</c:v>
                  </c:pt>
                  <c:pt idx="3">
                    <c:v>Meisjes</c:v>
                  </c:pt>
                </c:lvl>
              </c:multiLvlStrCache>
            </c:multiLvlStrRef>
          </c:cat>
          <c:val>
            <c:numRef>
              <c:f>Sheet1!$B$5:$G$5</c:f>
              <c:numCache>
                <c:formatCode>General</c:formatCode>
                <c:ptCount val="6"/>
                <c:pt idx="0">
                  <c:v>4</c:v>
                </c:pt>
                <c:pt idx="1">
                  <c:v>21</c:v>
                </c:pt>
                <c:pt idx="2">
                  <c:v>41</c:v>
                </c:pt>
                <c:pt idx="3">
                  <c:v>3</c:v>
                </c:pt>
                <c:pt idx="4">
                  <c:v>14</c:v>
                </c:pt>
                <c:pt idx="5">
                  <c:v>24</c:v>
                </c:pt>
              </c:numCache>
            </c:numRef>
          </c:val>
        </c:ser>
        <c:ser>
          <c:idx val="2"/>
          <c:order val="2"/>
          <c:tx>
            <c:strRef>
              <c:f>Sheet1!$A$6</c:f>
              <c:strCache>
                <c:ptCount val="1"/>
                <c:pt idx="0">
                  <c:v>2014</c:v>
                </c:pt>
              </c:strCache>
            </c:strRef>
          </c:tx>
          <c:spPr>
            <a:solidFill>
              <a:schemeClr val="accent2"/>
            </a:solidFill>
          </c:spPr>
          <c:invertIfNegative val="0"/>
          <c:dLbls>
            <c:spPr>
              <a:noFill/>
              <a:ln>
                <a:noFill/>
              </a:ln>
              <a:effectLst/>
            </c:spPr>
            <c:txPr>
              <a:bodyPr wrap="square" lIns="38100" tIns="19050" rIns="38100" bIns="19050" anchor="ctr">
                <a:spAutoFit/>
              </a:bodyPr>
              <a:lstStyle/>
              <a:p>
                <a:pPr>
                  <a:defRPr sz="900">
                    <a:solidFill>
                      <a:schemeClr val="tx1">
                        <a:lumMod val="65000"/>
                        <a:lumOff val="35000"/>
                      </a:schemeClr>
                    </a:solidFil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Sheet1!$B$2:$G$3</c:f>
              <c:multiLvlStrCache>
                <c:ptCount val="6"/>
                <c:lvl>
                  <c:pt idx="0">
                    <c:v>13-14</c:v>
                  </c:pt>
                  <c:pt idx="1">
                    <c:v>15-16</c:v>
                  </c:pt>
                  <c:pt idx="2">
                    <c:v>17-18</c:v>
                  </c:pt>
                  <c:pt idx="3">
                    <c:v>13-14</c:v>
                  </c:pt>
                  <c:pt idx="4">
                    <c:v>15-16</c:v>
                  </c:pt>
                  <c:pt idx="5">
                    <c:v>17-18</c:v>
                  </c:pt>
                </c:lvl>
                <c:lvl>
                  <c:pt idx="0">
                    <c:v>Jongens</c:v>
                  </c:pt>
                  <c:pt idx="3">
                    <c:v>Meisjes</c:v>
                  </c:pt>
                </c:lvl>
              </c:multiLvlStrCache>
            </c:multiLvlStrRef>
          </c:cat>
          <c:val>
            <c:numRef>
              <c:f>Sheet1!$B$6:$G$6</c:f>
              <c:numCache>
                <c:formatCode>0</c:formatCode>
                <c:ptCount val="6"/>
                <c:pt idx="0">
                  <c:v>4</c:v>
                </c:pt>
                <c:pt idx="1">
                  <c:v>16.2</c:v>
                </c:pt>
                <c:pt idx="2">
                  <c:v>39.700000000000003</c:v>
                </c:pt>
                <c:pt idx="3">
                  <c:v>2.2999999999999998</c:v>
                </c:pt>
                <c:pt idx="4">
                  <c:v>14.8</c:v>
                </c:pt>
                <c:pt idx="5">
                  <c:v>28.3</c:v>
                </c:pt>
              </c:numCache>
            </c:numRef>
          </c:val>
        </c:ser>
        <c:dLbls>
          <c:showLegendKey val="0"/>
          <c:showVal val="0"/>
          <c:showCatName val="0"/>
          <c:showSerName val="0"/>
          <c:showPercent val="0"/>
          <c:showBubbleSize val="0"/>
        </c:dLbls>
        <c:gapWidth val="150"/>
        <c:axId val="291830136"/>
        <c:axId val="291830528"/>
      </c:barChart>
      <c:catAx>
        <c:axId val="291830136"/>
        <c:scaling>
          <c:orientation val="minMax"/>
        </c:scaling>
        <c:delete val="0"/>
        <c:axPos val="b"/>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291830528"/>
        <c:crosses val="autoZero"/>
        <c:auto val="1"/>
        <c:lblAlgn val="ctr"/>
        <c:lblOffset val="100"/>
        <c:noMultiLvlLbl val="0"/>
      </c:catAx>
      <c:valAx>
        <c:axId val="291830528"/>
        <c:scaling>
          <c:orientation val="minMax"/>
          <c:max val="100"/>
        </c:scaling>
        <c:delete val="0"/>
        <c:axPos val="l"/>
        <c:majorGridlines/>
        <c:numFmt formatCode="General" sourceLinked="1"/>
        <c:majorTickMark val="out"/>
        <c:minorTickMark val="none"/>
        <c:tickLblPos val="nextTo"/>
        <c:spPr>
          <a:noFill/>
        </c:spPr>
        <c:txPr>
          <a:bodyPr/>
          <a:lstStyle/>
          <a:p>
            <a:pPr>
              <a:defRPr sz="900">
                <a:solidFill>
                  <a:schemeClr val="tx1">
                    <a:lumMod val="65000"/>
                    <a:lumOff val="35000"/>
                  </a:schemeClr>
                </a:solidFill>
              </a:defRPr>
            </a:pPr>
            <a:endParaRPr lang="nl-BE"/>
          </a:p>
        </c:txPr>
        <c:crossAx val="291830136"/>
        <c:crosses val="autoZero"/>
        <c:crossBetween val="between"/>
      </c:valAx>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c:f>
              <c:strCache>
                <c:ptCount val="1"/>
                <c:pt idx="0">
                  <c:v>2006</c:v>
                </c:pt>
              </c:strCache>
            </c:strRef>
          </c:tx>
          <c:invertIfNegative val="0"/>
          <c:dLbls>
            <c:spPr>
              <a:noFill/>
              <a:ln w="25155">
                <a:noFill/>
              </a:ln>
            </c:spPr>
            <c:txPr>
              <a:bodyPr wrap="square" lIns="38100" tIns="19050" rIns="38100" bIns="19050" anchor="ctr">
                <a:spAutoFit/>
              </a:bodyPr>
              <a:lstStyle/>
              <a:p>
                <a:pPr>
                  <a:defRPr sz="900">
                    <a:solidFill>
                      <a:schemeClr val="tx1">
                        <a:lumMod val="65000"/>
                        <a:lumOff val="35000"/>
                      </a:schemeClr>
                    </a:solidFil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Sheet1!$B$2:$G$3</c:f>
              <c:multiLvlStrCache>
                <c:ptCount val="6"/>
                <c:lvl>
                  <c:pt idx="0">
                    <c:v>ASO</c:v>
                  </c:pt>
                  <c:pt idx="1">
                    <c:v>TSO</c:v>
                  </c:pt>
                  <c:pt idx="2">
                    <c:v>BSO</c:v>
                  </c:pt>
                  <c:pt idx="3">
                    <c:v>ASO</c:v>
                  </c:pt>
                  <c:pt idx="4">
                    <c:v>TSO</c:v>
                  </c:pt>
                  <c:pt idx="5">
                    <c:v>BSO</c:v>
                  </c:pt>
                </c:lvl>
                <c:lvl>
                  <c:pt idx="0">
                    <c:v>Jongens</c:v>
                  </c:pt>
                  <c:pt idx="3">
                    <c:v>Meisjes</c:v>
                  </c:pt>
                </c:lvl>
              </c:multiLvlStrCache>
            </c:multiLvlStrRef>
          </c:cat>
          <c:val>
            <c:numRef>
              <c:f>Sheet1!$B$4:$G$4</c:f>
              <c:numCache>
                <c:formatCode>0</c:formatCode>
                <c:ptCount val="6"/>
                <c:pt idx="0">
                  <c:v>15.6</c:v>
                </c:pt>
                <c:pt idx="1">
                  <c:v>31.1</c:v>
                </c:pt>
                <c:pt idx="2">
                  <c:v>22.8</c:v>
                </c:pt>
                <c:pt idx="3">
                  <c:v>11.7</c:v>
                </c:pt>
                <c:pt idx="4">
                  <c:v>20.2</c:v>
                </c:pt>
                <c:pt idx="5">
                  <c:v>23.4</c:v>
                </c:pt>
              </c:numCache>
            </c:numRef>
          </c:val>
        </c:ser>
        <c:ser>
          <c:idx val="1"/>
          <c:order val="1"/>
          <c:tx>
            <c:strRef>
              <c:f>Sheet1!$A$5</c:f>
              <c:strCache>
                <c:ptCount val="1"/>
                <c:pt idx="0">
                  <c:v>2010</c:v>
                </c:pt>
              </c:strCache>
            </c:strRef>
          </c:tx>
          <c:spPr>
            <a:solidFill>
              <a:srgbClr val="92D050"/>
            </a:solidFill>
          </c:spPr>
          <c:invertIfNegative val="0"/>
          <c:dLbls>
            <c:spPr>
              <a:noFill/>
              <a:ln w="25155">
                <a:noFill/>
              </a:ln>
            </c:spPr>
            <c:txPr>
              <a:bodyPr wrap="square" lIns="38100" tIns="19050" rIns="38100" bIns="19050" anchor="ctr">
                <a:spAutoFit/>
              </a:bodyPr>
              <a:lstStyle/>
              <a:p>
                <a:pPr>
                  <a:defRPr sz="900">
                    <a:solidFill>
                      <a:schemeClr val="tx1">
                        <a:lumMod val="65000"/>
                        <a:lumOff val="35000"/>
                      </a:schemeClr>
                    </a:solidFil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Sheet1!$B$2:$G$3</c:f>
              <c:multiLvlStrCache>
                <c:ptCount val="6"/>
                <c:lvl>
                  <c:pt idx="0">
                    <c:v>ASO</c:v>
                  </c:pt>
                  <c:pt idx="1">
                    <c:v>TSO</c:v>
                  </c:pt>
                  <c:pt idx="2">
                    <c:v>BSO</c:v>
                  </c:pt>
                  <c:pt idx="3">
                    <c:v>ASO</c:v>
                  </c:pt>
                  <c:pt idx="4">
                    <c:v>TSO</c:v>
                  </c:pt>
                  <c:pt idx="5">
                    <c:v>BSO</c:v>
                  </c:pt>
                </c:lvl>
                <c:lvl>
                  <c:pt idx="0">
                    <c:v>Jongens</c:v>
                  </c:pt>
                  <c:pt idx="3">
                    <c:v>Meisjes</c:v>
                  </c:pt>
                </c:lvl>
              </c:multiLvlStrCache>
            </c:multiLvlStrRef>
          </c:cat>
          <c:val>
            <c:numRef>
              <c:f>Sheet1!$B$5:$G$5</c:f>
              <c:numCache>
                <c:formatCode>0</c:formatCode>
                <c:ptCount val="6"/>
                <c:pt idx="0">
                  <c:v>22.5</c:v>
                </c:pt>
                <c:pt idx="1">
                  <c:v>36.299999999999997</c:v>
                </c:pt>
                <c:pt idx="2">
                  <c:v>37.5</c:v>
                </c:pt>
                <c:pt idx="3">
                  <c:v>15.7</c:v>
                </c:pt>
                <c:pt idx="4">
                  <c:v>21.7</c:v>
                </c:pt>
                <c:pt idx="5">
                  <c:v>23.2</c:v>
                </c:pt>
              </c:numCache>
            </c:numRef>
          </c:val>
        </c:ser>
        <c:ser>
          <c:idx val="2"/>
          <c:order val="2"/>
          <c:tx>
            <c:strRef>
              <c:f>Sheet1!$A$6</c:f>
              <c:strCache>
                <c:ptCount val="1"/>
                <c:pt idx="0">
                  <c:v>2014</c:v>
                </c:pt>
              </c:strCache>
            </c:strRef>
          </c:tx>
          <c:spPr>
            <a:solidFill>
              <a:schemeClr val="accent2"/>
            </a:solidFill>
          </c:spPr>
          <c:invertIfNegative val="0"/>
          <c:dLbls>
            <c:spPr>
              <a:noFill/>
              <a:ln>
                <a:noFill/>
              </a:ln>
              <a:effectLst/>
            </c:spPr>
            <c:txPr>
              <a:bodyPr wrap="square" lIns="38100" tIns="19050" rIns="38100" bIns="19050" anchor="ctr">
                <a:spAutoFit/>
              </a:bodyPr>
              <a:lstStyle/>
              <a:p>
                <a:pPr>
                  <a:defRPr sz="900">
                    <a:solidFill>
                      <a:schemeClr val="tx1">
                        <a:lumMod val="65000"/>
                        <a:lumOff val="35000"/>
                      </a:schemeClr>
                    </a:solidFil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Sheet1!$B$2:$G$3</c:f>
              <c:multiLvlStrCache>
                <c:ptCount val="6"/>
                <c:lvl>
                  <c:pt idx="0">
                    <c:v>ASO</c:v>
                  </c:pt>
                  <c:pt idx="1">
                    <c:v>TSO</c:v>
                  </c:pt>
                  <c:pt idx="2">
                    <c:v>BSO</c:v>
                  </c:pt>
                  <c:pt idx="3">
                    <c:v>ASO</c:v>
                  </c:pt>
                  <c:pt idx="4">
                    <c:v>TSO</c:v>
                  </c:pt>
                  <c:pt idx="5">
                    <c:v>BSO</c:v>
                  </c:pt>
                </c:lvl>
                <c:lvl>
                  <c:pt idx="0">
                    <c:v>Jongens</c:v>
                  </c:pt>
                  <c:pt idx="3">
                    <c:v>Meisjes</c:v>
                  </c:pt>
                </c:lvl>
              </c:multiLvlStrCache>
            </c:multiLvlStrRef>
          </c:cat>
          <c:val>
            <c:numRef>
              <c:f>Sheet1!$B$6:$G$6</c:f>
              <c:numCache>
                <c:formatCode>0</c:formatCode>
                <c:ptCount val="6"/>
                <c:pt idx="0">
                  <c:v>19.100000000000001</c:v>
                </c:pt>
                <c:pt idx="1">
                  <c:v>30.4</c:v>
                </c:pt>
                <c:pt idx="2">
                  <c:v>30.5</c:v>
                </c:pt>
                <c:pt idx="3">
                  <c:v>14.8</c:v>
                </c:pt>
                <c:pt idx="4">
                  <c:v>24.7</c:v>
                </c:pt>
                <c:pt idx="5">
                  <c:v>30.6</c:v>
                </c:pt>
              </c:numCache>
            </c:numRef>
          </c:val>
        </c:ser>
        <c:dLbls>
          <c:showLegendKey val="0"/>
          <c:showVal val="0"/>
          <c:showCatName val="0"/>
          <c:showSerName val="0"/>
          <c:showPercent val="0"/>
          <c:showBubbleSize val="0"/>
        </c:dLbls>
        <c:gapWidth val="150"/>
        <c:axId val="354593656"/>
        <c:axId val="354594048"/>
      </c:barChart>
      <c:catAx>
        <c:axId val="354593656"/>
        <c:scaling>
          <c:orientation val="minMax"/>
        </c:scaling>
        <c:delete val="0"/>
        <c:axPos val="b"/>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354594048"/>
        <c:crosses val="autoZero"/>
        <c:auto val="1"/>
        <c:lblAlgn val="ctr"/>
        <c:lblOffset val="100"/>
        <c:noMultiLvlLbl val="0"/>
      </c:catAx>
      <c:valAx>
        <c:axId val="354594048"/>
        <c:scaling>
          <c:orientation val="minMax"/>
          <c:max val="100"/>
        </c:scaling>
        <c:delete val="0"/>
        <c:axPos val="l"/>
        <c:majorGridlines/>
        <c:numFmt formatCode="0" sourceLinked="1"/>
        <c:majorTickMark val="out"/>
        <c:minorTickMark val="none"/>
        <c:tickLblPos val="nextTo"/>
        <c:spPr>
          <a:noFill/>
        </c:spPr>
        <c:txPr>
          <a:bodyPr/>
          <a:lstStyle/>
          <a:p>
            <a:pPr>
              <a:defRPr sz="900">
                <a:solidFill>
                  <a:schemeClr val="tx1">
                    <a:lumMod val="65000"/>
                    <a:lumOff val="35000"/>
                  </a:schemeClr>
                </a:solidFill>
              </a:defRPr>
            </a:pPr>
            <a:endParaRPr lang="nl-BE"/>
          </a:p>
        </c:txPr>
        <c:crossAx val="354593656"/>
        <c:crosses val="autoZero"/>
        <c:crossBetween val="between"/>
      </c:valAx>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c:v>
                </c:pt>
              </c:strCache>
            </c:strRef>
          </c:tx>
          <c:spPr>
            <a:ln>
              <a:solidFill>
                <a:srgbClr val="4472C4"/>
              </a:solidFill>
            </a:ln>
          </c:spPr>
          <c:marker>
            <c:symbol val="none"/>
          </c:marker>
          <c:cat>
            <c:strRef>
              <c:f>Sheet1!$A$2:$A$9</c:f>
              <c:strCache>
                <c:ptCount val="8"/>
                <c:pt idx="0">
                  <c:v>11 jaar of jonger</c:v>
                </c:pt>
                <c:pt idx="1">
                  <c:v>12</c:v>
                </c:pt>
                <c:pt idx="2">
                  <c:v>13</c:v>
                </c:pt>
                <c:pt idx="3">
                  <c:v>14</c:v>
                </c:pt>
                <c:pt idx="4">
                  <c:v>15</c:v>
                </c:pt>
                <c:pt idx="5">
                  <c:v>16</c:v>
                </c:pt>
                <c:pt idx="6">
                  <c:v>17</c:v>
                </c:pt>
                <c:pt idx="7">
                  <c:v>18 jaar of ouder</c:v>
                </c:pt>
              </c:strCache>
            </c:strRef>
          </c:cat>
          <c:val>
            <c:numRef>
              <c:f>Sheet1!$B$2:$B$9</c:f>
              <c:numCache>
                <c:formatCode>0</c:formatCode>
                <c:ptCount val="8"/>
                <c:pt idx="0">
                  <c:v>1.8</c:v>
                </c:pt>
                <c:pt idx="1">
                  <c:v>3.4</c:v>
                </c:pt>
                <c:pt idx="2">
                  <c:v>9.4</c:v>
                </c:pt>
                <c:pt idx="3">
                  <c:v>22.5</c:v>
                </c:pt>
                <c:pt idx="4">
                  <c:v>30.4</c:v>
                </c:pt>
                <c:pt idx="5">
                  <c:v>23.4</c:v>
                </c:pt>
                <c:pt idx="6">
                  <c:v>7.8</c:v>
                </c:pt>
                <c:pt idx="7">
                  <c:v>1.3</c:v>
                </c:pt>
              </c:numCache>
            </c:numRef>
          </c:val>
          <c:smooth val="0"/>
        </c:ser>
        <c:ser>
          <c:idx val="1"/>
          <c:order val="1"/>
          <c:tx>
            <c:strRef>
              <c:f>Sheet1!$C$1</c:f>
              <c:strCache>
                <c:ptCount val="1"/>
                <c:pt idx="0">
                  <c:v>meisjes</c:v>
                </c:pt>
              </c:strCache>
            </c:strRef>
          </c:tx>
          <c:spPr>
            <a:ln>
              <a:solidFill>
                <a:srgbClr val="E66914"/>
              </a:solidFill>
            </a:ln>
          </c:spPr>
          <c:marker>
            <c:symbol val="none"/>
          </c:marker>
          <c:cat>
            <c:strRef>
              <c:f>Sheet1!$A$2:$A$9</c:f>
              <c:strCache>
                <c:ptCount val="8"/>
                <c:pt idx="0">
                  <c:v>11 jaar of jonger</c:v>
                </c:pt>
                <c:pt idx="1">
                  <c:v>12</c:v>
                </c:pt>
                <c:pt idx="2">
                  <c:v>13</c:v>
                </c:pt>
                <c:pt idx="3">
                  <c:v>14</c:v>
                </c:pt>
                <c:pt idx="4">
                  <c:v>15</c:v>
                </c:pt>
                <c:pt idx="5">
                  <c:v>16</c:v>
                </c:pt>
                <c:pt idx="6">
                  <c:v>17</c:v>
                </c:pt>
                <c:pt idx="7">
                  <c:v>18 jaar of ouder</c:v>
                </c:pt>
              </c:strCache>
            </c:strRef>
          </c:cat>
          <c:val>
            <c:numRef>
              <c:f>Sheet1!$C$2:$C$9</c:f>
              <c:numCache>
                <c:formatCode>0</c:formatCode>
                <c:ptCount val="8"/>
                <c:pt idx="0">
                  <c:v>1.2</c:v>
                </c:pt>
                <c:pt idx="1">
                  <c:v>2</c:v>
                </c:pt>
                <c:pt idx="2">
                  <c:v>5</c:v>
                </c:pt>
                <c:pt idx="3">
                  <c:v>20.9</c:v>
                </c:pt>
                <c:pt idx="4">
                  <c:v>34.200000000000003</c:v>
                </c:pt>
                <c:pt idx="5">
                  <c:v>24.9</c:v>
                </c:pt>
                <c:pt idx="6">
                  <c:v>10.5</c:v>
                </c:pt>
                <c:pt idx="7">
                  <c:v>1.2</c:v>
                </c:pt>
              </c:numCache>
            </c:numRef>
          </c:val>
          <c:smooth val="0"/>
        </c:ser>
        <c:dLbls>
          <c:showLegendKey val="0"/>
          <c:showVal val="0"/>
          <c:showCatName val="0"/>
          <c:showSerName val="0"/>
          <c:showPercent val="0"/>
          <c:showBubbleSize val="0"/>
        </c:dLbls>
        <c:smooth val="0"/>
        <c:axId val="429691424"/>
        <c:axId val="429691816"/>
      </c:lineChart>
      <c:catAx>
        <c:axId val="429691424"/>
        <c:scaling>
          <c:orientation val="minMax"/>
        </c:scaling>
        <c:delete val="0"/>
        <c:axPos val="b"/>
        <c:minorGridlines/>
        <c:numFmt formatCode="General" sourceLinked="1"/>
        <c:majorTickMark val="out"/>
        <c:minorTickMark val="none"/>
        <c:tickLblPos val="nextTo"/>
        <c:crossAx val="429691816"/>
        <c:crosses val="autoZero"/>
        <c:auto val="1"/>
        <c:lblAlgn val="ctr"/>
        <c:lblOffset val="100"/>
        <c:noMultiLvlLbl val="0"/>
      </c:catAx>
      <c:valAx>
        <c:axId val="429691816"/>
        <c:scaling>
          <c:orientation val="minMax"/>
        </c:scaling>
        <c:delete val="0"/>
        <c:axPos val="l"/>
        <c:majorGridlines/>
        <c:numFmt formatCode="0" sourceLinked="1"/>
        <c:majorTickMark val="out"/>
        <c:minorTickMark val="none"/>
        <c:tickLblPos val="nextTo"/>
        <c:spPr>
          <a:ln>
            <a:noFill/>
          </a:ln>
        </c:spPr>
        <c:crossAx val="429691424"/>
        <c:crosses val="autoZero"/>
        <c:crossBetween val="between"/>
      </c:valAx>
      <c:spPr>
        <a:ln>
          <a:noFill/>
        </a:ln>
      </c:spPr>
    </c:plotArea>
    <c:legend>
      <c:legendPos val="b"/>
      <c:overlay val="0"/>
    </c:legend>
    <c:plotVisOnly val="1"/>
    <c:dispBlanksAs val="gap"/>
    <c:showDLblsOverMax val="0"/>
  </c:chart>
  <c:spPr>
    <a:ln>
      <a:solidFill>
        <a:schemeClr val="tx1">
          <a:lumMod val="65000"/>
          <a:lumOff val="35000"/>
        </a:schemeClr>
      </a:solidFill>
    </a:ln>
  </c:spPr>
  <c:txPr>
    <a:bodyPr/>
    <a:lstStyle/>
    <a:p>
      <a:pPr>
        <a:defRPr>
          <a:ln>
            <a:solidFill>
              <a:schemeClr val="tx1">
                <a:lumMod val="65000"/>
                <a:lumOff val="35000"/>
              </a:schemeClr>
            </a:solidFill>
          </a:ln>
        </a:defRPr>
      </a:pPr>
      <a:endParaRPr lang="nl-B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6E90-785A-4A28-ACBA-D19C35EA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1371</Words>
  <Characters>7542</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Middelengebruik: Cannabisgebruik</vt:lpstr>
      <vt:lpstr>Middelengebruik: Cannabisgebruik</vt:lpstr>
    </vt:vector>
  </TitlesOfParts>
  <Company>Ugent</Company>
  <LinksUpToDate>false</LinksUpToDate>
  <CharactersWithSpaces>8896</CharactersWithSpaces>
  <SharedDoc>false</SharedDoc>
  <HLinks>
    <vt:vector size="12" baseType="variant">
      <vt:variant>
        <vt:i4>4391001</vt:i4>
      </vt:variant>
      <vt:variant>
        <vt:i4>6</vt:i4>
      </vt:variant>
      <vt:variant>
        <vt:i4>0</vt:i4>
      </vt:variant>
      <vt:variant>
        <vt:i4>5</vt:i4>
      </vt:variant>
      <vt:variant>
        <vt:lpwstr>http://www.hbsc.org/</vt:lpwstr>
      </vt:variant>
      <vt:variant>
        <vt:lpwstr/>
      </vt:variant>
      <vt:variant>
        <vt:i4>7471205</vt:i4>
      </vt:variant>
      <vt:variant>
        <vt:i4>3</vt:i4>
      </vt:variant>
      <vt:variant>
        <vt:i4>0</vt:i4>
      </vt:variant>
      <vt:variant>
        <vt:i4>5</vt:i4>
      </vt:variant>
      <vt:variant>
        <vt:lpwstr>http://www.jongeren-en-gezondheid.ugent.be/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Middelengebruik: Cannabisgebruik</dc:title>
  <dc:creator>Ahublet</dc:creator>
  <cp:keywords>HBSC</cp:keywords>
  <cp:lastModifiedBy>Thomas</cp:lastModifiedBy>
  <cp:revision>13</cp:revision>
  <cp:lastPrinted>2015-11-20T13:20:00Z</cp:lastPrinted>
  <dcterms:created xsi:type="dcterms:W3CDTF">2015-11-20T12:55:00Z</dcterms:created>
  <dcterms:modified xsi:type="dcterms:W3CDTF">2016-03-11T13:22:00Z</dcterms:modified>
</cp:coreProperties>
</file>